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  <w:r>
        <w:rPr>
          <w:lang w:val="en-US"/>
        </w:rPr>
        <w:t>SUBSTITUIÇÃO DA PENHORA - FIANÇA BANCÁRIA - NOVO CPC</w:t>
      </w: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848, parágrafo único, do CPC/2015, requerer que a penhora de fls. __, seja substituída por fiança bancária. (docs. Anexos)</w:t>
      </w: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  <w:r>
        <w:rPr>
          <w:lang w:val="en-US"/>
        </w:rPr>
        <w:t>Requer a oitiva da parte contrária, no prazo de 3 (três) dias e após, o deferimento total do pedido, uma vez que o mesmo não traz prejuízos ao Exequente.</w:t>
      </w: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E12033" w:rsidRDefault="00E12033">
      <w:pPr>
        <w:widowControl/>
        <w:rPr>
          <w:lang w:val="en-US"/>
        </w:rPr>
      </w:pPr>
    </w:p>
    <w:p w:rsidR="00E12033" w:rsidRDefault="00E1203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E12033" w:rsidRDefault="00E12033">
      <w:pPr>
        <w:widowControl/>
        <w:rPr>
          <w:lang w:val="en-US"/>
        </w:rPr>
      </w:pPr>
    </w:p>
    <w:sectPr w:rsidR="00E120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B6A52" w:rsidRDefault="007B6A52" w:rsidP="007B6A52">
      <w:r>
        <w:separator/>
      </w:r>
    </w:p>
  </w:endnote>
  <w:endnote w:type="continuationSeparator" w:id="0">
    <w:p w:rsidR="007B6A52" w:rsidRDefault="007B6A52" w:rsidP="007B6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6A52" w:rsidRDefault="007B6A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6A52" w:rsidRPr="007B6A52" w:rsidRDefault="007B6A52" w:rsidP="007B6A5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6A52" w:rsidRDefault="007B6A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B6A52" w:rsidRDefault="007B6A52" w:rsidP="007B6A52">
      <w:r>
        <w:separator/>
      </w:r>
    </w:p>
  </w:footnote>
  <w:footnote w:type="continuationSeparator" w:id="0">
    <w:p w:rsidR="007B6A52" w:rsidRDefault="007B6A52" w:rsidP="007B6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6A52" w:rsidRDefault="007B6A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6A52" w:rsidRPr="007B6A52" w:rsidRDefault="007B6A52" w:rsidP="007B6A5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B6A52" w:rsidRDefault="007B6A5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12033"/>
    <w:rsid w:val="007B6A52"/>
    <w:rsid w:val="00E1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B6A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B6A5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B6A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B6A5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589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