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2856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B80091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B80091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33624E00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D572460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31B5090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9EE8E68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FDA33C7" w14:textId="77777777" w:rsidR="007D5294" w:rsidRPr="00B80091" w:rsidRDefault="007D5294" w:rsidP="007D5294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B80091">
        <w:rPr>
          <w:rFonts w:ascii="Cambria" w:hAnsi="Cambria"/>
          <w:b/>
          <w:color w:val="000000"/>
          <w:sz w:val="24"/>
          <w:szCs w:val="24"/>
        </w:rPr>
        <w:t xml:space="preserve">EMENTA: PREVIDENCIÁRIO. APOSENTADORIA. </w:t>
      </w:r>
      <w:r w:rsidR="008A767A" w:rsidRPr="00B80091">
        <w:rPr>
          <w:rFonts w:ascii="Cambria" w:hAnsi="Cambria"/>
          <w:b/>
          <w:color w:val="000000"/>
          <w:sz w:val="24"/>
          <w:szCs w:val="24"/>
        </w:rPr>
        <w:t>CONCESSÃO DO ACRÉSCIMO DE 25%.</w:t>
      </w:r>
    </w:p>
    <w:p w14:paraId="010126D9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43C063C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DC7F681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B487582" w14:textId="77777777" w:rsidR="007D5294" w:rsidRPr="00B80091" w:rsidRDefault="007D5294" w:rsidP="007D529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5D0FF16" w14:textId="77777777" w:rsidR="007D5294" w:rsidRPr="00B80091" w:rsidRDefault="007D5294" w:rsidP="007D5294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B80091">
        <w:rPr>
          <w:rFonts w:ascii="Cambria" w:hAnsi="Cambria"/>
          <w:b/>
          <w:color w:val="000000"/>
          <w:sz w:val="24"/>
          <w:szCs w:val="24"/>
        </w:rPr>
        <w:t>PARTE AUTORA</w:t>
      </w:r>
      <w:r w:rsidRPr="00B80091">
        <w:rPr>
          <w:rFonts w:ascii="Cambria" w:hAnsi="Cambria"/>
          <w:color w:val="000000"/>
          <w:sz w:val="24"/>
          <w:szCs w:val="24"/>
        </w:rPr>
        <w:t>, (nacionalidade), (estado civil</w:t>
      </w:r>
      <w:r w:rsidR="00CF4FBD" w:rsidRPr="00B80091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B80091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B80091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B80091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B80091">
        <w:rPr>
          <w:rFonts w:ascii="Cambria" w:hAnsi="Cambria" w:cs="Times-Roman"/>
          <w:color w:val="000000"/>
          <w:sz w:val="24"/>
          <w:szCs w:val="24"/>
        </w:rPr>
        <w:t>º...</w:t>
      </w:r>
      <w:r w:rsidRPr="00B80091">
        <w:rPr>
          <w:rFonts w:ascii="Cambria" w:hAnsi="Cambria"/>
          <w:color w:val="000000"/>
          <w:sz w:val="24"/>
          <w:szCs w:val="24"/>
        </w:rPr>
        <w:t xml:space="preserve">, </w:t>
      </w:r>
      <w:r w:rsidR="00CF4FBD" w:rsidRPr="00B80091">
        <w:rPr>
          <w:rFonts w:ascii="Cambria" w:hAnsi="Cambria"/>
          <w:color w:val="000000"/>
          <w:sz w:val="24"/>
          <w:szCs w:val="24"/>
        </w:rPr>
        <w:t xml:space="preserve">e-mail…, </w:t>
      </w:r>
      <w:r w:rsidRPr="00B80091">
        <w:rPr>
          <w:rFonts w:ascii="Cambria" w:hAnsi="Cambria"/>
          <w:color w:val="000000"/>
          <w:sz w:val="24"/>
          <w:szCs w:val="24"/>
        </w:rPr>
        <w:t>residente e domiciliado(a) na rua.., bairro.., cidade.., estado.., CEP...,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7D5294" w:rsidRPr="00B80091" w14:paraId="4821F42A" w14:textId="77777777" w:rsidTr="00FE7248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6E527" w14:textId="77777777" w:rsidR="007D5294" w:rsidRPr="00B80091" w:rsidRDefault="007D5294" w:rsidP="007D5294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B80091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do acréscimo de 25% sobre o valor do benefício </w:t>
            </w:r>
          </w:p>
        </w:tc>
      </w:tr>
    </w:tbl>
    <w:p w14:paraId="59A0D7C8" w14:textId="77777777" w:rsidR="007D5294" w:rsidRPr="00B80091" w:rsidRDefault="007D5294" w:rsidP="007D5294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B80091">
        <w:rPr>
          <w:rFonts w:ascii="Cambria" w:hAnsi="Cambria"/>
          <w:color w:val="000000"/>
          <w:sz w:val="24"/>
          <w:szCs w:val="24"/>
        </w:rPr>
        <w:t xml:space="preserve">contra o </w:t>
      </w:r>
      <w:r w:rsidRPr="00B80091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B80091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B80091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B80091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7D5294" w:rsidRPr="00B80091" w14:paraId="5E19F912" w14:textId="77777777" w:rsidTr="00FE72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A82FC69" w14:textId="77777777" w:rsidR="007D5294" w:rsidRPr="00B80091" w:rsidRDefault="007D5294" w:rsidP="00FE7248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B80091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B80091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B80091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B80091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257518D5" w14:textId="77777777" w:rsidR="007D5294" w:rsidRPr="00B80091" w:rsidRDefault="007D5294" w:rsidP="007D529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  <w:r w:rsidRPr="00B80091">
        <w:rPr>
          <w:rFonts w:ascii="Cambria" w:hAnsi="Cambria"/>
          <w:sz w:val="24"/>
          <w:szCs w:val="24"/>
        </w:rPr>
        <w:t xml:space="preserve">A Parte Autora é aposentada desde... </w:t>
      </w:r>
      <w:r w:rsidRPr="00B80091">
        <w:rPr>
          <w:rFonts w:ascii="Cambria" w:hAnsi="Cambria"/>
          <w:i/>
          <w:color w:val="FF0000"/>
          <w:sz w:val="24"/>
          <w:szCs w:val="24"/>
        </w:rPr>
        <w:t>(data do inicio do benefício de aposentadoria)</w:t>
      </w:r>
      <w:r w:rsidRPr="00B80091">
        <w:rPr>
          <w:rFonts w:ascii="Cambria" w:hAnsi="Cambria"/>
          <w:sz w:val="24"/>
          <w:szCs w:val="24"/>
        </w:rPr>
        <w:t xml:space="preserve"> </w:t>
      </w:r>
      <w:r w:rsidRPr="00B80091">
        <w:rPr>
          <w:rFonts w:ascii="Cambria" w:hAnsi="Cambria" w:cs="Calibri"/>
          <w:sz w:val="24"/>
          <w:szCs w:val="24"/>
        </w:rPr>
        <w:t>pelo Regime Geral da Previdência Social</w:t>
      </w:r>
      <w:r w:rsidRPr="00B80091">
        <w:rPr>
          <w:rFonts w:ascii="Cambria" w:hAnsi="Cambria"/>
          <w:sz w:val="24"/>
          <w:szCs w:val="24"/>
        </w:rPr>
        <w:t>.</w:t>
      </w:r>
    </w:p>
    <w:p w14:paraId="18466F6F" w14:textId="77777777" w:rsidR="00CC5099" w:rsidRPr="00B80091" w:rsidRDefault="00CC5099" w:rsidP="00CC509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 w:cs="Calibri"/>
          <w:sz w:val="24"/>
          <w:szCs w:val="24"/>
          <w:lang w:val="pt-BR"/>
        </w:rPr>
        <w:lastRenderedPageBreak/>
        <w:t xml:space="preserve">De acordo com os atestados e exames anexos, </w:t>
      </w:r>
      <w:r w:rsidRPr="00B80091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B80091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B80091">
        <w:rPr>
          <w:rFonts w:ascii="Cambria" w:hAnsi="Cambria"/>
          <w:i/>
          <w:color w:val="FF0000"/>
          <w:sz w:val="24"/>
          <w:szCs w:val="24"/>
          <w:lang w:val="pt-BR"/>
        </w:rPr>
        <w:t xml:space="preserve">escrever a doença ou lesão responsável </w:t>
      </w:r>
      <w:r w:rsidR="007906F0" w:rsidRPr="00B80091">
        <w:rPr>
          <w:rFonts w:ascii="Cambria" w:hAnsi="Cambria"/>
          <w:i/>
          <w:color w:val="FF0000"/>
          <w:sz w:val="24"/>
          <w:szCs w:val="24"/>
          <w:lang w:val="pt-BR"/>
        </w:rPr>
        <w:t>pela incapacidade definitiva</w:t>
      </w:r>
      <w:r w:rsidRPr="00B80091">
        <w:rPr>
          <w:rFonts w:ascii="Cambria" w:hAnsi="Cambria"/>
          <w:i/>
          <w:color w:val="FF0000"/>
          <w:sz w:val="24"/>
          <w:szCs w:val="24"/>
          <w:lang w:val="pt-BR"/>
        </w:rPr>
        <w:t>)</w:t>
      </w:r>
      <w:r w:rsidRPr="00B80091">
        <w:rPr>
          <w:rFonts w:ascii="Cambria" w:hAnsi="Cambria"/>
          <w:sz w:val="24"/>
          <w:szCs w:val="24"/>
          <w:lang w:val="pt-BR"/>
        </w:rPr>
        <w:t>, que impossibilitam que realize os atos da vida diária, necessitando da assistência permanente de outra pessoa.</w:t>
      </w:r>
    </w:p>
    <w:p w14:paraId="612DB6CF" w14:textId="77777777" w:rsidR="007D5294" w:rsidRPr="00B80091" w:rsidRDefault="007D5294" w:rsidP="007D529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</w:rPr>
      </w:pPr>
      <w:r w:rsidRPr="00B80091">
        <w:rPr>
          <w:rFonts w:ascii="Cambria" w:hAnsi="Cambria" w:cs="Calibri"/>
          <w:noProof/>
          <w:sz w:val="24"/>
          <w:szCs w:val="24"/>
        </w:rPr>
        <w:t xml:space="preserve">Em face da necessidade de acompanhamento constante de terceiros, solicitou em </w:t>
      </w:r>
      <w:r w:rsidRPr="00B80091">
        <w:rPr>
          <w:rFonts w:ascii="Cambria" w:hAnsi="Cambria" w:cs="Calibri"/>
          <w:i/>
          <w:noProof/>
          <w:color w:val="FF0000"/>
          <w:sz w:val="24"/>
          <w:szCs w:val="24"/>
        </w:rPr>
        <w:t>(data do requerimento administrativo)</w:t>
      </w:r>
      <w:r w:rsidRPr="00B80091">
        <w:rPr>
          <w:rFonts w:ascii="Cambria" w:hAnsi="Cambria" w:cs="Calibri"/>
          <w:noProof/>
          <w:sz w:val="24"/>
          <w:szCs w:val="24"/>
        </w:rPr>
        <w:t>, perante o INSS, a majoração em 25% de sua aposentadoria, mediante aplicação análoga ao disposto no artigo 45 da Lei 8.213/91.</w:t>
      </w:r>
    </w:p>
    <w:p w14:paraId="31CB19F6" w14:textId="77777777" w:rsidR="007D5294" w:rsidRPr="00B80091" w:rsidRDefault="007D5294" w:rsidP="007D529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</w:rPr>
      </w:pPr>
      <w:r w:rsidRPr="00B80091">
        <w:rPr>
          <w:rFonts w:ascii="Cambria" w:hAnsi="Cambria" w:cs="Calibri"/>
          <w:color w:val="000000"/>
          <w:sz w:val="24"/>
          <w:szCs w:val="24"/>
        </w:rPr>
        <w:t xml:space="preserve">Porém, o pedido </w:t>
      </w:r>
      <w:r w:rsidR="009C6C0B" w:rsidRPr="00B80091">
        <w:rPr>
          <w:rFonts w:ascii="Cambria" w:hAnsi="Cambria" w:cs="Calibri"/>
          <w:color w:val="000000"/>
          <w:sz w:val="24"/>
          <w:szCs w:val="24"/>
        </w:rPr>
        <w:t>administrativo foi negado pela A</w:t>
      </w:r>
      <w:r w:rsidRPr="00B80091">
        <w:rPr>
          <w:rFonts w:ascii="Cambria" w:hAnsi="Cambria" w:cs="Calibri"/>
          <w:color w:val="000000"/>
          <w:sz w:val="24"/>
          <w:szCs w:val="24"/>
        </w:rPr>
        <w:t>utarquia-ré.</w:t>
      </w:r>
    </w:p>
    <w:p w14:paraId="57AFC862" w14:textId="77777777" w:rsidR="007D5294" w:rsidRPr="00B80091" w:rsidRDefault="007D5294" w:rsidP="007D529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Destarte, busca a Parte Autora a tutela jurisdicional do Estado para ver garantido o seu direito de receber o acréscimo de 25% sobre o valor do seu benefício.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7D5294" w:rsidRPr="00B80091" w14:paraId="6522EB10" w14:textId="77777777" w:rsidTr="00FE72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DA74586" w14:textId="77777777" w:rsidR="007D5294" w:rsidRPr="00B80091" w:rsidRDefault="007D5294" w:rsidP="00FE7248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B80091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B80091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07A0A64C" w14:textId="77777777" w:rsidR="009C6C0B" w:rsidRPr="00B80091" w:rsidRDefault="009C6C0B" w:rsidP="009C6C0B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Cambria" w:hAnsi="Cambria" w:cs="Calibri"/>
          <w:sz w:val="24"/>
          <w:szCs w:val="24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C6C0B" w:rsidRPr="00B80091" w14:paraId="79B999D7" w14:textId="77777777" w:rsidTr="00FE72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9187126" w14:textId="77777777" w:rsidR="009C6C0B" w:rsidRPr="00B80091" w:rsidRDefault="009C6C0B" w:rsidP="009C6C0B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B80091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B80091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2.1. ISONOMIA CONSTITUCIONAL </w:t>
            </w:r>
          </w:p>
        </w:tc>
      </w:tr>
    </w:tbl>
    <w:p w14:paraId="604FC18B" w14:textId="77777777" w:rsidR="009C6C0B" w:rsidRPr="00B80091" w:rsidRDefault="009C6C0B" w:rsidP="009C6C0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A majoração em 25% do valor do benefício de aposentadoria tem previsão emanada do artigo 201, I, da Constituição Federal, entabulado, no âmbito infraconstitucional, no artigo 45 da Lei 8.213/91.</w:t>
      </w:r>
    </w:p>
    <w:p w14:paraId="6EC0D5D3" w14:textId="77777777" w:rsidR="009C6C0B" w:rsidRPr="00B80091" w:rsidRDefault="009C6C0B" w:rsidP="009C6C0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Enquanto a Constituição Federal dispõe que</w:t>
      </w:r>
    </w:p>
    <w:p w14:paraId="76D7E1CE" w14:textId="77777777" w:rsidR="009C6C0B" w:rsidRPr="00B80091" w:rsidRDefault="009C6C0B" w:rsidP="009C6C0B">
      <w:pPr>
        <w:pStyle w:val="NormalWeb"/>
        <w:ind w:left="2268"/>
        <w:jc w:val="both"/>
        <w:rPr>
          <w:rFonts w:ascii="Cambria" w:hAnsi="Cambria"/>
          <w:sz w:val="20"/>
        </w:rPr>
      </w:pPr>
      <w:r w:rsidRPr="00B80091">
        <w:rPr>
          <w:rFonts w:ascii="Cambria" w:hAnsi="Cambria"/>
          <w:sz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   </w:t>
      </w:r>
    </w:p>
    <w:p w14:paraId="52FE9A3D" w14:textId="77777777" w:rsidR="009C6C0B" w:rsidRPr="00B80091" w:rsidRDefault="009C6C0B" w:rsidP="009C6C0B">
      <w:pPr>
        <w:pStyle w:val="NormalWeb"/>
        <w:ind w:left="2268"/>
        <w:jc w:val="both"/>
        <w:rPr>
          <w:rFonts w:ascii="Cambria" w:hAnsi="Cambria"/>
          <w:sz w:val="20"/>
        </w:rPr>
      </w:pPr>
      <w:r w:rsidRPr="00B80091">
        <w:rPr>
          <w:rFonts w:ascii="Cambria" w:hAnsi="Cambria"/>
          <w:sz w:val="20"/>
        </w:rPr>
        <w:t>I - cobertura dos eventos de doença, invalidez, morte e idade avançada;</w:t>
      </w:r>
    </w:p>
    <w:p w14:paraId="0C70007D" w14:textId="77777777" w:rsidR="009C6C0B" w:rsidRPr="00B80091" w:rsidRDefault="009C6C0B" w:rsidP="009C6C0B">
      <w:pPr>
        <w:pStyle w:val="NormalWeb"/>
        <w:jc w:val="both"/>
        <w:rPr>
          <w:rFonts w:ascii="Cambria" w:hAnsi="Cambria"/>
          <w:szCs w:val="24"/>
        </w:rPr>
      </w:pPr>
      <w:r w:rsidRPr="00B80091">
        <w:rPr>
          <w:rFonts w:ascii="Cambria" w:hAnsi="Cambria"/>
          <w:szCs w:val="24"/>
        </w:rPr>
        <w:tab/>
      </w:r>
    </w:p>
    <w:p w14:paraId="3FCF6538" w14:textId="77777777" w:rsidR="009C6C0B" w:rsidRPr="00B80091" w:rsidRDefault="009C6C0B" w:rsidP="009C6C0B">
      <w:pPr>
        <w:pStyle w:val="NormalWeb"/>
        <w:ind w:firstLine="1134"/>
        <w:jc w:val="both"/>
        <w:rPr>
          <w:rFonts w:ascii="Cambria" w:hAnsi="Cambria" w:cs="Calibri"/>
          <w:szCs w:val="24"/>
        </w:rPr>
      </w:pPr>
      <w:r w:rsidRPr="00B80091">
        <w:rPr>
          <w:rFonts w:ascii="Cambria" w:hAnsi="Cambria" w:cs="Calibri"/>
          <w:szCs w:val="24"/>
        </w:rPr>
        <w:t>A lei 8.213/91 determina que</w:t>
      </w:r>
    </w:p>
    <w:p w14:paraId="126AFCD3" w14:textId="77777777" w:rsidR="009C6C0B" w:rsidRPr="00B80091" w:rsidRDefault="009C6C0B" w:rsidP="009C6C0B">
      <w:pPr>
        <w:spacing w:before="100" w:beforeAutospacing="1" w:after="100" w:afterAutospacing="1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bookmarkStart w:id="0" w:name="art45"/>
      <w:r w:rsidRPr="00B80091">
        <w:rPr>
          <w:rFonts w:ascii="Cambria" w:eastAsia="Arial Unicode MS" w:hAnsi="Cambria" w:cs="Arial Unicode MS"/>
          <w:sz w:val="20"/>
          <w:szCs w:val="20"/>
        </w:rPr>
        <w:t>A</w:t>
      </w:r>
      <w:bookmarkEnd w:id="0"/>
      <w:r w:rsidRPr="00B80091">
        <w:rPr>
          <w:rFonts w:ascii="Cambria" w:eastAsia="Arial Unicode MS" w:hAnsi="Cambria" w:cs="Arial Unicode MS"/>
          <w:sz w:val="20"/>
          <w:szCs w:val="20"/>
        </w:rPr>
        <w:t>rt. 45. O valor da aposentadoria por invalidez do segurado que necessitar da assistência permanente de outra pessoa será acrescido de 25% (vinte e cinco por cento).</w:t>
      </w:r>
    </w:p>
    <w:p w14:paraId="2D71D836" w14:textId="77777777" w:rsidR="009C6C0B" w:rsidRPr="00B80091" w:rsidRDefault="009C6C0B" w:rsidP="009C6C0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Notadamente, a lei federal 8.213/91 possibilita a majoração do valor do benefício apenas às aposentadorias por invalidez. Entretanto, a análise da constitucionalidade da aventada norma, em face do Princípio da Isonomia emanado do artigo 5º da Constituição Federal de 1988 se faz imperativa. Isto, pois a lei citada cria diferença entre os aposentados </w:t>
      </w:r>
      <w:r w:rsidRPr="00B80091">
        <w:rPr>
          <w:rFonts w:ascii="Cambria" w:hAnsi="Cambria" w:cs="Calibri"/>
          <w:i/>
          <w:sz w:val="24"/>
          <w:szCs w:val="24"/>
        </w:rPr>
        <w:t>por invalidez</w:t>
      </w:r>
      <w:r w:rsidRPr="00B80091">
        <w:rPr>
          <w:rFonts w:ascii="Cambria" w:hAnsi="Cambria" w:cs="Calibri"/>
          <w:sz w:val="24"/>
          <w:szCs w:val="24"/>
        </w:rPr>
        <w:t xml:space="preserve"> dependentes de terceiros, daqueles </w:t>
      </w:r>
      <w:r w:rsidRPr="00B80091">
        <w:rPr>
          <w:rFonts w:ascii="Cambria" w:hAnsi="Cambria" w:cs="Calibri"/>
          <w:sz w:val="24"/>
          <w:szCs w:val="24"/>
        </w:rPr>
        <w:lastRenderedPageBreak/>
        <w:t>aposentados em outras modalidades (</w:t>
      </w:r>
      <w:r w:rsidRPr="00B80091">
        <w:rPr>
          <w:rFonts w:ascii="Cambria" w:hAnsi="Cambria" w:cs="Calibri"/>
          <w:i/>
          <w:sz w:val="24"/>
          <w:szCs w:val="24"/>
        </w:rPr>
        <w:t>e.g.</w:t>
      </w:r>
      <w:r w:rsidRPr="00B80091">
        <w:rPr>
          <w:rFonts w:ascii="Cambria" w:hAnsi="Cambria" w:cs="Calibri"/>
          <w:sz w:val="24"/>
          <w:szCs w:val="24"/>
        </w:rPr>
        <w:t xml:space="preserve"> idade ou tempo de contribuição), que acabam por tornarem-se dependentes de terceiros, com o advento de doenças ulteriores a concessão de seus benefícios. </w:t>
      </w:r>
    </w:p>
    <w:p w14:paraId="038053E2" w14:textId="77777777" w:rsidR="009C6C0B" w:rsidRPr="00B80091" w:rsidRDefault="009C6C0B" w:rsidP="009C6C0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Neste aspecto, o ponto fulcral de análise passa pela coerência da divergência criada. Afinal, há lógica distinção entre os beneficiários da aposentadoria por invalidez e de outras modalidades, que efetivamente justifique o direito de um à majoração, e o de outro não?</w:t>
      </w:r>
    </w:p>
    <w:p w14:paraId="6D1EA46B" w14:textId="77777777" w:rsidR="009C6C0B" w:rsidRPr="00B80091" w:rsidRDefault="009C6C0B" w:rsidP="009C6C0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Se hipoteticamente dois beneficiários de aposentadoria, um por invalidez e outro por idade forem, à mesma época (posterior a concessão de seus benefícios), acometidos de doença grave como a cegueira total, faz sentido que o primeiro tenha concedida a majoração, enquanto o segundo não? </w:t>
      </w:r>
    </w:p>
    <w:p w14:paraId="4B969A3A" w14:textId="77777777" w:rsidR="009C6C0B" w:rsidRPr="00B80091" w:rsidRDefault="009C6C0B" w:rsidP="009C6C0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Evidentemente, a resposta a tais indagações passa pela averiguação da equidade emanada da mencionada norma previdenciária, permitindo-se afirmar que a distinção fere o Princípio da Isonomia.</w:t>
      </w:r>
      <w:r w:rsidRPr="00B80091">
        <w:rPr>
          <w:rFonts w:ascii="Cambria" w:hAnsi="Cambria" w:cs="Calibri"/>
          <w:b/>
          <w:sz w:val="24"/>
          <w:szCs w:val="24"/>
        </w:rPr>
        <w:t xml:space="preserve"> </w:t>
      </w:r>
    </w:p>
    <w:p w14:paraId="6BA77890" w14:textId="77777777" w:rsidR="009C6C0B" w:rsidRPr="00B80091" w:rsidRDefault="009C6C0B" w:rsidP="009C6C0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Sobre a matéria, imperativa transcrição é a da obra de Celso Antônio Bandeira de Mello, em seu específico livro </w:t>
      </w:r>
      <w:r w:rsidRPr="00B80091">
        <w:rPr>
          <w:rFonts w:ascii="Cambria" w:hAnsi="Cambria" w:cs="Calibri"/>
          <w:i/>
          <w:sz w:val="24"/>
          <w:szCs w:val="24"/>
        </w:rPr>
        <w:t xml:space="preserve">“O conteúdo jurídico do Princípio da Igualdade”, </w:t>
      </w:r>
      <w:r w:rsidRPr="00B80091">
        <w:rPr>
          <w:rFonts w:ascii="Cambria" w:hAnsi="Cambria" w:cs="Calibri"/>
          <w:sz w:val="24"/>
          <w:szCs w:val="24"/>
        </w:rPr>
        <w:t>que serve como necessária e didática lição quanto a aplicação do princípio da isonomia:</w:t>
      </w:r>
    </w:p>
    <w:p w14:paraId="12C90FD2" w14:textId="77777777" w:rsidR="009C6C0B" w:rsidRPr="00B80091" w:rsidRDefault="009C6C0B" w:rsidP="009C6C0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 xml:space="preserve">Aquilo que é, em absoluto rigor lógico, necessária e irrefragavelmente igual para todos não pode ser tomado como fator de diferenciação, pena de hostilizar o princípio isonômico. Diversamente, aquilo que é diferenciável, que é, por algum traço ou aspecto, desigual, pode ser diferençado, fazendo-se remissão à existência ou à sucessão daquilo que dessemelhou as situações. </w:t>
      </w:r>
    </w:p>
    <w:p w14:paraId="4670A728" w14:textId="77777777" w:rsidR="009C6C0B" w:rsidRPr="00B80091" w:rsidRDefault="009C6C0B" w:rsidP="009C6C0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(...) O ponto nodular para exame da correção de uma regra em face do princípio isonômico reside na existência ou não de correlação lógica entre o fator erigido em critério de discrímen e a discriminação legal decidida em função dele.</w:t>
      </w:r>
    </w:p>
    <w:p w14:paraId="6AC98863" w14:textId="77777777" w:rsidR="009C6C0B" w:rsidRPr="00B80091" w:rsidRDefault="009C6C0B" w:rsidP="009C6C0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(...) Ocorre imediata e intuitiva rejeição de validade a regra que, ao apartar situações, para fins de regulá-las diversamente, calça-se em fatores que não guardam pertinência com a desigualdade de tratamento jurídico dispensado.</w:t>
      </w:r>
    </w:p>
    <w:p w14:paraId="50823C85" w14:textId="77777777" w:rsidR="009C6C0B" w:rsidRPr="00B80091" w:rsidRDefault="009C6C0B" w:rsidP="009C6C0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Esclarecendo melhor: tem-se que investigar, de um lado, aquilo que é erigido em critério discriminatório e, de outro lado, se há justificativa racional para, à vista do traço desigualador adotado, atribuir o específico tratamento jurídico construído em função da desigualdade afirmada. (...)</w:t>
      </w:r>
    </w:p>
    <w:p w14:paraId="2F588C37" w14:textId="77777777" w:rsidR="009C6C0B" w:rsidRPr="00B80091" w:rsidRDefault="009C6C0B" w:rsidP="009C6C0B">
      <w:pPr>
        <w:pStyle w:val="Textodenotaderodap"/>
        <w:ind w:left="2268"/>
        <w:jc w:val="both"/>
        <w:rPr>
          <w:rFonts w:ascii="Cambria" w:hAnsi="Cambria"/>
        </w:rPr>
      </w:pPr>
      <w:r w:rsidRPr="00B80091">
        <w:rPr>
          <w:rFonts w:ascii="Cambria" w:eastAsia="Arial Unicode MS" w:hAnsi="Cambria" w:cs="Arial Unicode MS"/>
        </w:rPr>
        <w:t xml:space="preserve">Então, no que atina ao ponto central da matéria abordada procede afirmar: é agredida a igualdade quando o fator diferencial adotado para qualificar os atingidos pela regra não guarda relação de pertinência lógica com a inclusão ou exclusão no benefício deferido ou com a inserção ou </w:t>
      </w:r>
      <w:r w:rsidR="004352BB" w:rsidRPr="00B80091">
        <w:rPr>
          <w:rFonts w:ascii="Cambria" w:eastAsia="Arial Unicode MS" w:hAnsi="Cambria" w:cs="Arial Unicode MS"/>
        </w:rPr>
        <w:t>arredamento do gravame imposto.</w:t>
      </w:r>
      <w:r w:rsidRPr="00B80091">
        <w:rPr>
          <w:rFonts w:ascii="Cambria" w:hAnsi="Cambria"/>
        </w:rPr>
        <w:t xml:space="preserve"> </w:t>
      </w:r>
      <w:r w:rsidR="004352BB" w:rsidRPr="00B80091">
        <w:rPr>
          <w:rFonts w:ascii="Cambria" w:hAnsi="Cambria"/>
          <w:lang w:val="pt-BR"/>
        </w:rPr>
        <w:t>(</w:t>
      </w:r>
      <w:r w:rsidRPr="00B80091">
        <w:rPr>
          <w:rFonts w:ascii="Cambria" w:hAnsi="Cambria"/>
        </w:rPr>
        <w:t xml:space="preserve">MELLO, Celso Antônio Bandeira de - </w:t>
      </w:r>
      <w:r w:rsidRPr="00B80091">
        <w:rPr>
          <w:rFonts w:ascii="Cambria" w:hAnsi="Cambria"/>
          <w:iCs/>
        </w:rPr>
        <w:t>Conteúdo Jurídico do Princípio de Igualdade</w:t>
      </w:r>
      <w:r w:rsidRPr="00B80091">
        <w:rPr>
          <w:rFonts w:ascii="Cambria" w:hAnsi="Cambria"/>
        </w:rPr>
        <w:t>. São Paulo: Edit</w:t>
      </w:r>
      <w:r w:rsidR="004352BB" w:rsidRPr="00B80091">
        <w:rPr>
          <w:rFonts w:ascii="Cambria" w:hAnsi="Cambria"/>
        </w:rPr>
        <w:t>ora Malheiros, 3ª Edição, 2010</w:t>
      </w:r>
      <w:r w:rsidR="004352BB" w:rsidRPr="00B80091">
        <w:rPr>
          <w:rFonts w:ascii="Cambria" w:hAnsi="Cambria"/>
          <w:lang w:val="pt-BR"/>
        </w:rPr>
        <w:t xml:space="preserve">, </w:t>
      </w:r>
      <w:r w:rsidR="004352BB" w:rsidRPr="00B80091">
        <w:rPr>
          <w:rFonts w:ascii="Cambria" w:hAnsi="Cambria"/>
        </w:rPr>
        <w:t>págs.</w:t>
      </w:r>
      <w:r w:rsidRPr="00B80091">
        <w:rPr>
          <w:rFonts w:ascii="Cambria" w:hAnsi="Cambria"/>
        </w:rPr>
        <w:t xml:space="preserve"> 32, 37 e 38)</w:t>
      </w:r>
    </w:p>
    <w:p w14:paraId="7307E1E9" w14:textId="77777777" w:rsidR="004352B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Diante das ponderações de Celso Antônio de Mello que se faz pertinente avaliar se “o fator diferencial adotado para qualificar os atingidos”, ou seja, a modalidade de aposentadoria  “</w:t>
      </w:r>
      <w:r w:rsidRPr="00B80091">
        <w:rPr>
          <w:rFonts w:ascii="Cambria" w:eastAsia="Arial Unicode MS" w:hAnsi="Cambria" w:cs="Calibri"/>
          <w:sz w:val="24"/>
          <w:szCs w:val="24"/>
        </w:rPr>
        <w:t xml:space="preserve">guarda relação de pertinência lógica com a inclusão ou exclusão no benefício deferido”. A partir disto se conclui que não, não há lógica para a diferenciação visto que, se acometidos de doenças incapacitantes a ponto de exigir a assistência de terceiros, o modo de tratamento aos aposentados deve ser igualitário. </w:t>
      </w:r>
    </w:p>
    <w:p w14:paraId="10728FDF" w14:textId="77777777" w:rsidR="009C6C0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Em igual sentido, Celso Antônio Bandeira de Mello responde à questão por ele suscitada: </w:t>
      </w:r>
    </w:p>
    <w:p w14:paraId="16062AF7" w14:textId="77777777" w:rsidR="004352BB" w:rsidRPr="00B80091" w:rsidRDefault="009C6C0B" w:rsidP="004352BB">
      <w:pPr>
        <w:pStyle w:val="Textodenotaderodap"/>
        <w:ind w:left="2268"/>
        <w:jc w:val="both"/>
        <w:rPr>
          <w:rFonts w:ascii="Cambria" w:hAnsi="Cambria"/>
        </w:rPr>
      </w:pPr>
      <w:r w:rsidRPr="00B80091">
        <w:rPr>
          <w:rFonts w:ascii="Cambria" w:eastAsia="Arial Unicode MS" w:hAnsi="Cambria" w:cs="Arial Unicode MS"/>
        </w:rPr>
        <w:t>Cabe, por isso mesmo, quanto a este aspecto, concluir: o critério especificador escolhido pela lei, a fim de circunscrever os atingidos por uma situação jurídica – a dizer: o fator de discriminação – pode ser qualquer elemento radicado neles; todavia, necessita, inarredavelmente, guardar relação de pertinência lógica com a diferenciação que dele resulta. Em outras palavras: a discriminação não pode ser gratuita ou fortuita. Impende que exista uma adequação racional entre o tratamento diferenciado construído e a razão diferencial que lhe serviu de supedâneo. Segue-se que, se o fator diferencial não guardar conexão lógica com a disparidade de tratamentos jurídicos dispensados, a distinção estabelecida afronta o princípio da isonomia</w:t>
      </w:r>
      <w:r w:rsidR="004352BB" w:rsidRPr="00B80091">
        <w:rPr>
          <w:rFonts w:ascii="Cambria" w:eastAsia="Arial Unicode MS" w:hAnsi="Cambria" w:cs="Arial Unicode MS"/>
        </w:rPr>
        <w:t xml:space="preserve">. </w:t>
      </w:r>
      <w:r w:rsidR="004352BB" w:rsidRPr="00B80091">
        <w:rPr>
          <w:rFonts w:ascii="Cambria" w:hAnsi="Cambria"/>
          <w:lang w:val="pt-BR"/>
        </w:rPr>
        <w:t>(</w:t>
      </w:r>
      <w:r w:rsidR="004352BB" w:rsidRPr="00B80091">
        <w:rPr>
          <w:rFonts w:ascii="Cambria" w:hAnsi="Cambria"/>
        </w:rPr>
        <w:t xml:space="preserve">MELLO, Celso Antônio Bandeira de - </w:t>
      </w:r>
      <w:r w:rsidR="004352BB" w:rsidRPr="00B80091">
        <w:rPr>
          <w:rFonts w:ascii="Cambria" w:hAnsi="Cambria"/>
          <w:iCs/>
        </w:rPr>
        <w:t>Conteúdo Jurídico do Princípio de Igualdade</w:t>
      </w:r>
      <w:r w:rsidR="004352BB" w:rsidRPr="00B80091">
        <w:rPr>
          <w:rFonts w:ascii="Cambria" w:hAnsi="Cambria"/>
        </w:rPr>
        <w:t>. São Paulo: Editora Malheiros, 3ª Edição, 2010</w:t>
      </w:r>
      <w:r w:rsidR="004352BB" w:rsidRPr="00B80091">
        <w:rPr>
          <w:rFonts w:ascii="Cambria" w:hAnsi="Cambria"/>
          <w:lang w:val="pt-BR"/>
        </w:rPr>
        <w:t xml:space="preserve">, </w:t>
      </w:r>
      <w:r w:rsidR="004352BB" w:rsidRPr="00B80091">
        <w:rPr>
          <w:rFonts w:ascii="Cambria" w:hAnsi="Cambria"/>
        </w:rPr>
        <w:t>págs. 32, 37 e 38)</w:t>
      </w:r>
    </w:p>
    <w:p w14:paraId="05AB0E1D" w14:textId="77777777" w:rsidR="004352B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eastAsia="Arial Unicode MS" w:hAnsi="Cambria" w:cs="Calibri"/>
          <w:sz w:val="24"/>
          <w:szCs w:val="24"/>
        </w:rPr>
      </w:pPr>
      <w:r w:rsidRPr="00B80091">
        <w:rPr>
          <w:rFonts w:ascii="Cambria" w:eastAsia="Arial Unicode MS" w:hAnsi="Cambria" w:cs="Calibri"/>
          <w:sz w:val="24"/>
          <w:szCs w:val="24"/>
        </w:rPr>
        <w:t>Desta análise, não há outra conclusão a ser tomada, senão que a distinção de direitos à majoração de aposentadoria, pela mera diferença da modalidade, sem qualquer elemento que a justifique afronta, sim, o artigo 5º da Constituição Federal.</w:t>
      </w:r>
    </w:p>
    <w:p w14:paraId="0E4933D9" w14:textId="77777777" w:rsidR="009C6C0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eastAsia="Arial Unicode MS" w:hAnsi="Cambria" w:cs="Calibri"/>
          <w:sz w:val="24"/>
          <w:szCs w:val="24"/>
        </w:rPr>
      </w:pPr>
      <w:r w:rsidRPr="00B80091">
        <w:rPr>
          <w:rFonts w:ascii="Cambria" w:eastAsia="Arial Unicode MS" w:hAnsi="Cambria" w:cs="Calibri"/>
          <w:sz w:val="24"/>
          <w:szCs w:val="24"/>
        </w:rPr>
        <w:t xml:space="preserve">Neste sentido, </w:t>
      </w:r>
      <w:r w:rsidR="0074508B" w:rsidRPr="00B80091">
        <w:rPr>
          <w:rFonts w:ascii="Cambria" w:eastAsia="Arial Unicode MS" w:hAnsi="Cambria" w:cs="Calibri"/>
          <w:sz w:val="24"/>
          <w:szCs w:val="24"/>
        </w:rPr>
        <w:t>entende a jurisprudência pátria</w:t>
      </w:r>
      <w:r w:rsidRPr="00B80091">
        <w:rPr>
          <w:rFonts w:ascii="Cambria" w:eastAsia="Arial Unicode MS" w:hAnsi="Cambria" w:cs="Calibri"/>
          <w:sz w:val="24"/>
          <w:szCs w:val="24"/>
        </w:rPr>
        <w:t xml:space="preserve">: </w:t>
      </w:r>
    </w:p>
    <w:p w14:paraId="2956BFFC" w14:textId="77777777" w:rsidR="009C6C0B" w:rsidRPr="00B80091" w:rsidRDefault="0074508B" w:rsidP="0074508B">
      <w:pPr>
        <w:spacing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 xml:space="preserve">PEDIDO DE UNIFORMIZAÇÃO NACIONAL INTERPOSTO PELA PARTE AUTORA. PREVIDENCIÁRIO. </w:t>
      </w:r>
      <w:r w:rsidRPr="00B80091">
        <w:rPr>
          <w:rFonts w:ascii="Cambria" w:eastAsia="Arial Unicode MS" w:hAnsi="Cambria" w:cs="Arial Unicode MS"/>
          <w:b/>
          <w:sz w:val="20"/>
          <w:szCs w:val="20"/>
        </w:rPr>
        <w:t>ADICIONAL DE 25% PREVISTO NO ART. 45 DA LEI 8.213/91. POSSIBILIDADE DE EXTENSÃO À APOSENTADORIA POR IDADE. CABIMENTO</w:t>
      </w:r>
      <w:r w:rsidRPr="00B80091">
        <w:rPr>
          <w:rFonts w:ascii="Cambria" w:eastAsia="Arial Unicode MS" w:hAnsi="Cambria" w:cs="Arial Unicode MS"/>
          <w:sz w:val="20"/>
          <w:szCs w:val="20"/>
        </w:rPr>
        <w:t xml:space="preserve">. QUESTÃO DE ORDEM 20. PROVIMENTO DO INCIDENTE. RETORNO À TR DE ORIGEM. EXAME DE PROVAS. (TNU, PUN 05010669320144058502, RELATOR SÉRGIO MURILO WANDERLEY QUEIROGA, JULGADO EM 11/03/2015, sem grifo no original) </w:t>
      </w:r>
    </w:p>
    <w:p w14:paraId="000FEA36" w14:textId="77777777" w:rsidR="004352B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Outra importante análise é a de que a concessão da majoração de 25% na aposentadoria é de caráter personalíssimo, calculado em relação ao benefício originário e cessado com a morte do segurado, mesmo nos casos em que concedida na aposentadoria por invalidez. </w:t>
      </w:r>
    </w:p>
    <w:p w14:paraId="7D98CDEA" w14:textId="77777777" w:rsidR="004352BB" w:rsidRPr="00B80091" w:rsidRDefault="009C6C0B" w:rsidP="004352BB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Ademais, também é oportuno observar que o mesmo aposentado de outra modalidade, que não a prevista no artigo 42 da Lei 8.213/91 poderia postular judicialmente a renúncia ao benefício recebido (o que já vem ocorrendo largamente nos recentes casos de desaposentação) com a finalidade de ser submetido a perícia médica e, por conseguinte, ver deferida a aposentadoria </w:t>
      </w:r>
      <w:r w:rsidRPr="00B80091">
        <w:rPr>
          <w:rFonts w:ascii="Cambria" w:hAnsi="Cambria" w:cs="Calibri"/>
          <w:i/>
          <w:sz w:val="24"/>
          <w:szCs w:val="24"/>
        </w:rPr>
        <w:t>por invalidez</w:t>
      </w:r>
      <w:r w:rsidRPr="00B80091">
        <w:rPr>
          <w:rFonts w:ascii="Cambria" w:hAnsi="Cambria" w:cs="Calibri"/>
          <w:sz w:val="24"/>
          <w:szCs w:val="24"/>
        </w:rPr>
        <w:t xml:space="preserve"> majorada em 25%, enquadrando-se no que dispõe o artigo 45 da LBPS. Entretanto, este não parece ser o caminho mais acertado, considerando a possiblidade de reconhecimento </w:t>
      </w:r>
      <w:r w:rsidRPr="00B80091">
        <w:rPr>
          <w:rFonts w:ascii="Cambria" w:hAnsi="Cambria" w:cs="Calibri"/>
          <w:i/>
          <w:sz w:val="24"/>
          <w:szCs w:val="24"/>
        </w:rPr>
        <w:t>“imediato”</w:t>
      </w:r>
      <w:r w:rsidRPr="00B80091">
        <w:rPr>
          <w:rFonts w:ascii="Cambria" w:hAnsi="Cambria" w:cs="Calibri"/>
          <w:sz w:val="24"/>
          <w:szCs w:val="24"/>
        </w:rPr>
        <w:t xml:space="preserve"> do direito à majoração, mesmo em seu benefício de modalidade diversa.</w:t>
      </w:r>
    </w:p>
    <w:p w14:paraId="6A2081F8" w14:textId="77777777" w:rsidR="009C6C0B" w:rsidRPr="00B80091" w:rsidRDefault="009C6C0B" w:rsidP="004352B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Por todo o narrado, resta claro e irrefragável que há violação ao princípio isonômico ao se garantir o direito à majoração a uns e não a outros, embora acometidos de moléstias de igual gravidade. Assim, é dever do Poder Judiciário reparar o dano ocasionado, pelo que se vem postular na presente</w:t>
      </w:r>
      <w:r w:rsidR="004352BB" w:rsidRPr="00B80091">
        <w:rPr>
          <w:rFonts w:ascii="Cambria" w:hAnsi="Cambria" w:cs="Calibri"/>
          <w:sz w:val="24"/>
          <w:szCs w:val="24"/>
        </w:rPr>
        <w:t xml:space="preserve"> ação judicial</w:t>
      </w:r>
      <w:r w:rsidRPr="00B80091">
        <w:rPr>
          <w:rFonts w:ascii="Cambria" w:hAnsi="Cambria" w:cs="Calibri"/>
          <w:sz w:val="24"/>
          <w:szCs w:val="24"/>
        </w:rPr>
        <w:t>.</w:t>
      </w:r>
    </w:p>
    <w:p w14:paraId="7C26E739" w14:textId="77777777" w:rsidR="00CC5099" w:rsidRPr="00B80091" w:rsidRDefault="00CC5099" w:rsidP="004352B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</w:p>
    <w:p w14:paraId="7B8177A1" w14:textId="77777777" w:rsidR="004352BB" w:rsidRPr="00B80091" w:rsidRDefault="004352BB" w:rsidP="004352BB">
      <w:pPr>
        <w:autoSpaceDE w:val="0"/>
        <w:autoSpaceDN w:val="0"/>
        <w:adjustRightInd w:val="0"/>
        <w:spacing w:after="0" w:line="240" w:lineRule="auto"/>
        <w:ind w:firstLine="1134"/>
        <w:jc w:val="both"/>
        <w:rPr>
          <w:rFonts w:ascii="Cambria" w:hAnsi="Cambria" w:cs="Calibri"/>
          <w:sz w:val="24"/>
          <w:szCs w:val="24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352BB" w:rsidRPr="00B80091" w14:paraId="50B7691E" w14:textId="77777777" w:rsidTr="00FE72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0D75A7E" w14:textId="77777777" w:rsidR="004352BB" w:rsidRPr="00B80091" w:rsidRDefault="004352BB" w:rsidP="004352BB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B80091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B80091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2.2. FONTE DE CUSTEIO </w:t>
            </w:r>
          </w:p>
        </w:tc>
      </w:tr>
    </w:tbl>
    <w:p w14:paraId="27487978" w14:textId="77777777" w:rsidR="004352BB" w:rsidRPr="00B80091" w:rsidRDefault="009C6C0B" w:rsidP="004352B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Argumento contrário ao pedido veiculado nesta ação poderia ser o de que não há previsão de custeio a autorizar a concessão da majoração em 25% da aposentadoria diversa da </w:t>
      </w:r>
      <w:r w:rsidRPr="00B80091">
        <w:rPr>
          <w:rFonts w:ascii="Cambria" w:hAnsi="Cambria" w:cs="Calibri"/>
          <w:i/>
          <w:sz w:val="24"/>
          <w:szCs w:val="24"/>
        </w:rPr>
        <w:t>por invalidez</w:t>
      </w:r>
      <w:r w:rsidRPr="00B80091">
        <w:rPr>
          <w:rFonts w:ascii="Cambria" w:hAnsi="Cambria" w:cs="Calibri"/>
          <w:sz w:val="24"/>
          <w:szCs w:val="24"/>
        </w:rPr>
        <w:t xml:space="preserve">, violando-se, assim, a Regra da Contrapartida – Princípio da Preexistência de Custeio – </w:t>
      </w:r>
      <w:r w:rsidR="004352BB" w:rsidRPr="00B80091">
        <w:rPr>
          <w:rFonts w:ascii="Cambria" w:hAnsi="Cambria" w:cs="Calibri"/>
          <w:sz w:val="24"/>
          <w:szCs w:val="24"/>
        </w:rPr>
        <w:t xml:space="preserve">conforme </w:t>
      </w:r>
      <w:r w:rsidRPr="00B80091">
        <w:rPr>
          <w:rFonts w:ascii="Cambria" w:hAnsi="Cambria" w:cs="Calibri"/>
          <w:sz w:val="24"/>
          <w:szCs w:val="24"/>
        </w:rPr>
        <w:t>o artigo 195, §5º da Constituição/88.</w:t>
      </w:r>
    </w:p>
    <w:p w14:paraId="2268B4B5" w14:textId="77777777" w:rsidR="009C6C0B" w:rsidRPr="00B80091" w:rsidRDefault="009C6C0B" w:rsidP="004352BB">
      <w:pPr>
        <w:shd w:val="clear" w:color="auto" w:fill="FFFFFF"/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Entretanto, para a referida alegação ser válida é imprescindível, antes de tudo, analisar a fonte de custeio </w:t>
      </w:r>
      <w:r w:rsidRPr="00B80091">
        <w:rPr>
          <w:rFonts w:ascii="Cambria" w:hAnsi="Cambria" w:cs="Calibri"/>
          <w:i/>
          <w:sz w:val="24"/>
          <w:szCs w:val="24"/>
          <w:u w:val="single"/>
        </w:rPr>
        <w:t>sob a ótica da majoração nas aposentadorias por invalidez</w:t>
      </w:r>
      <w:r w:rsidRPr="00B80091">
        <w:rPr>
          <w:rFonts w:ascii="Cambria" w:hAnsi="Cambria" w:cs="Calibri"/>
          <w:i/>
          <w:sz w:val="24"/>
          <w:szCs w:val="24"/>
        </w:rPr>
        <w:t>!</w:t>
      </w:r>
      <w:r w:rsidRPr="00B80091">
        <w:rPr>
          <w:rFonts w:ascii="Cambria" w:hAnsi="Cambria" w:cs="Calibri"/>
          <w:sz w:val="24"/>
          <w:szCs w:val="24"/>
        </w:rPr>
        <w:t xml:space="preserve"> Nisto, se pede vênia para repisar aqui trecho do Voto do Des. Rogério Favreto na apelação cível n.º </w:t>
      </w:r>
      <w:r w:rsidRPr="00B80091">
        <w:rPr>
          <w:rFonts w:ascii="Cambria" w:eastAsia="Arial Unicode MS" w:hAnsi="Cambria" w:cs="Calibri"/>
          <w:sz w:val="24"/>
          <w:szCs w:val="24"/>
        </w:rPr>
        <w:t>0017373-51.2012.404.9999/RS, ao assim dispor:</w:t>
      </w:r>
    </w:p>
    <w:p w14:paraId="25E93B81" w14:textId="77777777" w:rsidR="009C6C0B" w:rsidRPr="00B80091" w:rsidRDefault="009C6C0B" w:rsidP="004352B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 xml:space="preserve">Quanto à fonte de custeio do acréscimo de assistência complementar e da possibilidade ora sustentada, de aplicação extensiva ao art. 45 da Lei de Benefícios, a lei não faz menção a nenhum lastro contributivo específico, </w:t>
      </w:r>
      <w:r w:rsidRPr="00B80091">
        <w:rPr>
          <w:rFonts w:ascii="Cambria" w:eastAsia="Arial Unicode MS" w:hAnsi="Cambria" w:cs="Arial Unicode MS"/>
          <w:b/>
          <w:sz w:val="20"/>
          <w:szCs w:val="20"/>
        </w:rPr>
        <w:t>provavelmente pela sua natureza assistencial</w:t>
      </w:r>
      <w:r w:rsidRPr="00B80091">
        <w:rPr>
          <w:rFonts w:ascii="Cambria" w:eastAsia="Arial Unicode MS" w:hAnsi="Cambria" w:cs="Arial Unicode MS"/>
          <w:sz w:val="20"/>
          <w:szCs w:val="20"/>
        </w:rPr>
        <w:t>, que garante a prestação pelo Estado, independentemente de contribuição à seguridade social (art. 203, CF). Oportuna nesse aspecto, o registro anotado no trabalho acadêmico de Maria Eugênia Bento de Melo, produzido junto à Universidade do Sul de Santa Catarina:</w:t>
      </w:r>
    </w:p>
    <w:p w14:paraId="7F9C7CBB" w14:textId="77777777" w:rsidR="009C6C0B" w:rsidRPr="00B80091" w:rsidRDefault="009C6C0B" w:rsidP="004352BB">
      <w:pPr>
        <w:spacing w:before="120" w:after="120"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Assim, a aplicação do acréscimo de 25% da aposentadoria por invalidez não pode ser interpretada de forma isolada, vez que a fonte de custeio desse percentual é a mesma para todas as espécies de aposentadoria do RGPS. Neste norte, a medida plausível a se adotada seria a aplicação extensiva. Isto porque, se se entender que não há fonte de custeio para a extensão às demais espécies de aposentadoria, da mesma forma, dever-se-ia entender que não há fonte de custeio para a própria extensão da aposentadoria por invalidez. E assim seria porque, em momento algum a legislação aponta a fonte de custeio para o acréscimo dos aposentados por invalidez". (</w:t>
      </w:r>
      <w:r w:rsidRPr="00B80091">
        <w:rPr>
          <w:rFonts w:ascii="Cambria" w:eastAsia="Arial Unicode MS" w:hAnsi="Cambria" w:cs="Arial Unicode MS"/>
          <w:b/>
          <w:sz w:val="20"/>
          <w:szCs w:val="20"/>
        </w:rPr>
        <w:t>A Possibilidade de Extensão do Acréscimo de 25% Previsto no Artigo 45 da Lei nº 8.213/91 aos demais Benefícios de Aposentadorias do Regime Geral da Previdência Social</w:t>
      </w:r>
      <w:r w:rsidRPr="00B80091">
        <w:rPr>
          <w:rFonts w:ascii="Cambria" w:eastAsia="Arial Unicode MS" w:hAnsi="Cambria" w:cs="Arial Unicode MS"/>
          <w:sz w:val="20"/>
          <w:szCs w:val="20"/>
        </w:rPr>
        <w:t>: UNISUL, Tubarão/SC, 2010 - sublinhei).</w:t>
      </w:r>
    </w:p>
    <w:p w14:paraId="316A0CF8" w14:textId="77777777" w:rsidR="00CC5099" w:rsidRPr="00B80091" w:rsidRDefault="009C6C0B" w:rsidP="00CC5099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Portanto, Excelência, a concessão da majoração nas aposentadorias por invalidez </w:t>
      </w:r>
      <w:r w:rsidRPr="00B80091">
        <w:rPr>
          <w:rFonts w:ascii="Cambria" w:hAnsi="Cambria" w:cs="Calibri"/>
          <w:i/>
          <w:sz w:val="24"/>
          <w:szCs w:val="24"/>
        </w:rPr>
        <w:t>independe de custeio próprio</w:t>
      </w:r>
      <w:r w:rsidRPr="00B80091">
        <w:rPr>
          <w:rFonts w:ascii="Cambria" w:hAnsi="Cambria" w:cs="Calibri"/>
          <w:sz w:val="24"/>
          <w:szCs w:val="24"/>
        </w:rPr>
        <w:t xml:space="preserve">, pois tendo caráter </w:t>
      </w:r>
      <w:r w:rsidRPr="00B80091">
        <w:rPr>
          <w:rFonts w:ascii="Cambria" w:hAnsi="Cambria" w:cs="Calibri"/>
          <w:i/>
          <w:sz w:val="24"/>
          <w:szCs w:val="24"/>
        </w:rPr>
        <w:t xml:space="preserve">assistencial, </w:t>
      </w:r>
      <w:r w:rsidRPr="00B80091">
        <w:rPr>
          <w:rFonts w:ascii="Cambria" w:hAnsi="Cambria" w:cs="Calibri"/>
          <w:sz w:val="24"/>
          <w:szCs w:val="24"/>
        </w:rPr>
        <w:t xml:space="preserve">diante da evidenciação de que não se apresenta custeio diferenciado em relação às outras modalidades de aposentadoria. Por esta razão, não pode ser este o impeditivo ao deferimento do acréscimo às outras modalidades de aposentadoria. </w:t>
      </w:r>
    </w:p>
    <w:p w14:paraId="4C804376" w14:textId="77777777" w:rsidR="00CC5099" w:rsidRPr="00B80091" w:rsidRDefault="009C6C0B" w:rsidP="00CC5099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Afinal, e como bem observado pelo Magistrado na decisão da apelação cível, do ponto de vista do caráter assistencial do acréscimo, a denegação ao pedido de majoração das aposentadorias diversas </w:t>
      </w:r>
      <w:r w:rsidRPr="00B80091">
        <w:rPr>
          <w:rFonts w:ascii="Cambria" w:hAnsi="Cambria" w:cs="Calibri"/>
          <w:i/>
          <w:sz w:val="24"/>
          <w:szCs w:val="24"/>
          <w:u w:val="single"/>
        </w:rPr>
        <w:t>viola</w:t>
      </w:r>
      <w:r w:rsidRPr="00B80091">
        <w:rPr>
          <w:rFonts w:ascii="Cambria" w:hAnsi="Cambria" w:cs="Calibri"/>
          <w:sz w:val="24"/>
          <w:szCs w:val="24"/>
        </w:rPr>
        <w:t xml:space="preserve"> os princípios da Assistência Social.</w:t>
      </w:r>
      <w:r w:rsidRPr="00B80091">
        <w:rPr>
          <w:rFonts w:ascii="Cambria" w:hAnsi="Cambria" w:cs="Calibri"/>
          <w:i/>
          <w:sz w:val="24"/>
          <w:szCs w:val="24"/>
          <w:u w:val="single"/>
        </w:rPr>
        <w:t xml:space="preserve"> </w:t>
      </w:r>
    </w:p>
    <w:p w14:paraId="6FA8D6A3" w14:textId="77777777" w:rsidR="00CC5099" w:rsidRPr="00B80091" w:rsidRDefault="009C6C0B" w:rsidP="00CC5099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Ainda, é prudente salientar que a matéria objeto de análise da presente ação já é alvo de discussão no Senado Federal, onde tramita o projeto de Lei 493 de 2011, do Senador Paulo Paim, que altera o artigo 45 da Lei 8.213/91, de modo a estender a majoração (ora requerida) aos benefícios de aposentadoria por idade, aposentadoria por tempo de contribuição e aposentadoria especial. </w:t>
      </w:r>
    </w:p>
    <w:p w14:paraId="3B3F2413" w14:textId="77777777" w:rsidR="009C6C0B" w:rsidRPr="00B80091" w:rsidRDefault="009C6C0B" w:rsidP="00CC5099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>Na justificação do projeto, o Senador expõe com maestria e brilhantismo os motivos que o levam a propor a alteração legislativa. Veja-se (grifos nossos):</w:t>
      </w:r>
    </w:p>
    <w:p w14:paraId="0057C64C" w14:textId="77777777" w:rsidR="009C6C0B" w:rsidRPr="00B80091" w:rsidRDefault="009C6C0B" w:rsidP="00CC5099">
      <w:pPr>
        <w:spacing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 xml:space="preserve">O art. 45 da Lei nº 8.213, de 24 de julho de 1991 (Lei de Benefícios da Previdência Social) dispõe que o valor da aposentadoria por invalidez do segurado que necessitar da assistência permanente de outra pessoa será acrescido de 25%. </w:t>
      </w:r>
    </w:p>
    <w:p w14:paraId="425EF979" w14:textId="77777777" w:rsidR="009C6C0B" w:rsidRPr="00B80091" w:rsidRDefault="009C6C0B" w:rsidP="00CC5099">
      <w:pPr>
        <w:spacing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Isso significa que a lei concede tal benefício apenas para aqueles que foram aposentados por invalidez, negando-o para aqueles que, após a aposentadoria, venham a contrair doença ou passem a ser portadores de deficiência física e, conseqüentemente, venham a necessitar, de fato, da mesma assistência.</w:t>
      </w:r>
    </w:p>
    <w:p w14:paraId="509562B6" w14:textId="77777777" w:rsidR="009C6C0B" w:rsidRPr="00B80091" w:rsidRDefault="009C6C0B" w:rsidP="00CC5099">
      <w:pPr>
        <w:spacing w:line="240" w:lineRule="auto"/>
        <w:ind w:left="2268"/>
        <w:jc w:val="both"/>
        <w:rPr>
          <w:rFonts w:ascii="Cambria" w:eastAsia="Arial Unicode MS" w:hAnsi="Cambria" w:cs="Arial Unicode MS"/>
          <w:b/>
          <w:sz w:val="20"/>
          <w:szCs w:val="20"/>
        </w:rPr>
      </w:pPr>
      <w:r w:rsidRPr="00B80091">
        <w:rPr>
          <w:rFonts w:ascii="Cambria" w:eastAsia="Arial Unicode MS" w:hAnsi="Cambria" w:cs="Arial Unicode MS"/>
          <w:b/>
          <w:sz w:val="20"/>
          <w:szCs w:val="20"/>
          <w:u w:val="single"/>
        </w:rPr>
        <w:t>Tal diferenciação é um contra-senso, além de contradizer um dos preceitos básicos da seguridade social: uniformidade e equivalência dos benefícios e serviços às populações urbanas e rurais</w:t>
      </w:r>
      <w:r w:rsidRPr="00B80091">
        <w:rPr>
          <w:rFonts w:ascii="Cambria" w:eastAsia="Arial Unicode MS" w:hAnsi="Cambria" w:cs="Arial Unicode MS"/>
          <w:sz w:val="20"/>
          <w:szCs w:val="20"/>
        </w:rPr>
        <w:t xml:space="preserve"> (art. 194, § único, II, da Constituição Federal). </w:t>
      </w:r>
      <w:r w:rsidRPr="00B80091">
        <w:rPr>
          <w:rFonts w:ascii="Cambria" w:eastAsia="Arial Unicode MS" w:hAnsi="Cambria" w:cs="Arial Unicode MS"/>
          <w:b/>
          <w:sz w:val="20"/>
          <w:szCs w:val="20"/>
        </w:rPr>
        <w:t>Ademais, torna-se ainda mais injusta quando se considera que os aposentados por idade e por tempo de contribuição (inclusive os que têm aposentadoria especial) contribuem igualmente para o custeio da Previdência Social.</w:t>
      </w:r>
    </w:p>
    <w:p w14:paraId="0DF8BA7C" w14:textId="77777777" w:rsidR="009C6C0B" w:rsidRPr="00B80091" w:rsidRDefault="009C6C0B" w:rsidP="00CC5099">
      <w:pPr>
        <w:spacing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sz w:val="20"/>
          <w:szCs w:val="20"/>
        </w:rPr>
        <w:t>(...)</w:t>
      </w:r>
    </w:p>
    <w:p w14:paraId="1A16DCC6" w14:textId="77777777" w:rsidR="009C6C0B" w:rsidRPr="00B80091" w:rsidRDefault="009C6C0B" w:rsidP="00CC5099">
      <w:pPr>
        <w:spacing w:line="240" w:lineRule="auto"/>
        <w:ind w:left="2268"/>
        <w:jc w:val="both"/>
        <w:rPr>
          <w:rFonts w:ascii="Cambria" w:eastAsia="Arial Unicode MS" w:hAnsi="Cambria" w:cs="Arial Unicode MS"/>
          <w:sz w:val="20"/>
          <w:szCs w:val="20"/>
        </w:rPr>
      </w:pPr>
      <w:r w:rsidRPr="00B80091">
        <w:rPr>
          <w:rFonts w:ascii="Cambria" w:eastAsia="Arial Unicode MS" w:hAnsi="Cambria" w:cs="Arial Unicode MS"/>
          <w:b/>
          <w:sz w:val="20"/>
          <w:szCs w:val="20"/>
        </w:rPr>
        <w:t>Do exposto, fica evidente a necessidade de corrigir a injustiça</w:t>
      </w:r>
      <w:r w:rsidRPr="00B80091">
        <w:rPr>
          <w:rFonts w:ascii="Cambria" w:eastAsia="Arial Unicode MS" w:hAnsi="Cambria" w:cs="Arial Unicode MS"/>
          <w:sz w:val="20"/>
          <w:szCs w:val="20"/>
        </w:rPr>
        <w:t xml:space="preserve"> que vem sendo impetrada contra os aposentados por idade, por tempo de contribuição e contra aqueles a quem foi concedida aposentadoria especial, quando esses ficam doentes ou passam a ser portadores de deficiência física que os impedem de sobreviver sem a assistência permanente de outra pessoa.</w:t>
      </w:r>
      <w:r w:rsidR="00CC5099" w:rsidRPr="00B80091">
        <w:rPr>
          <w:rFonts w:ascii="Cambria" w:eastAsia="Arial Unicode MS" w:hAnsi="Cambria" w:cs="Arial Unicode MS"/>
          <w:sz w:val="20"/>
          <w:szCs w:val="20"/>
        </w:rPr>
        <w:t xml:space="preserve"> (</w:t>
      </w:r>
      <w:r w:rsidRPr="00B80091">
        <w:rPr>
          <w:rFonts w:ascii="Cambria" w:hAnsi="Cambria"/>
          <w:sz w:val="20"/>
          <w:szCs w:val="20"/>
        </w:rPr>
        <w:t>Disponível em &lt;http://www.senado.gov.br/atividade/materia/detalhes.asp?p_cod_mate=101663</w:t>
      </w:r>
      <w:r w:rsidR="00CC5099" w:rsidRPr="00B80091">
        <w:rPr>
          <w:rFonts w:ascii="Cambria" w:hAnsi="Cambria"/>
          <w:sz w:val="20"/>
          <w:szCs w:val="20"/>
        </w:rPr>
        <w:t>)</w:t>
      </w:r>
    </w:p>
    <w:p w14:paraId="7A205478" w14:textId="77777777" w:rsidR="00CC5099" w:rsidRPr="00B80091" w:rsidRDefault="009C6C0B" w:rsidP="00CC5099">
      <w:pPr>
        <w:spacing w:before="100" w:beforeAutospacing="1" w:after="100" w:afterAutospacing="1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80091">
        <w:rPr>
          <w:rFonts w:ascii="Cambria" w:hAnsi="Cambria" w:cs="Calibri"/>
          <w:sz w:val="24"/>
          <w:szCs w:val="24"/>
        </w:rPr>
        <w:t xml:space="preserve">Assim, fica por todo o narrado comprovado que a decisão denegatória do INSS </w:t>
      </w:r>
      <w:r w:rsidRPr="00B80091">
        <w:rPr>
          <w:rFonts w:ascii="Cambria" w:hAnsi="Cambria" w:cs="Calibri"/>
          <w:b/>
          <w:sz w:val="24"/>
          <w:szCs w:val="24"/>
        </w:rPr>
        <w:t xml:space="preserve">viola </w:t>
      </w:r>
      <w:r w:rsidRPr="00B80091">
        <w:rPr>
          <w:rFonts w:ascii="Cambria" w:hAnsi="Cambria" w:cs="Calibri"/>
          <w:sz w:val="24"/>
          <w:szCs w:val="24"/>
        </w:rPr>
        <w:t xml:space="preserve">o princípio da Isonomia emanado do artigo 5º da Constituição Federal, visto a não concessão da majoração em 25% na aposentadoria de outra modalidade, que não a por invalidez, </w:t>
      </w:r>
      <w:r w:rsidRPr="00B80091">
        <w:rPr>
          <w:rFonts w:ascii="Cambria" w:hAnsi="Cambria" w:cs="Calibri"/>
          <w:i/>
          <w:sz w:val="24"/>
          <w:szCs w:val="24"/>
        </w:rPr>
        <w:t>não apresenta correlação lógica</w:t>
      </w:r>
      <w:r w:rsidRPr="00B80091">
        <w:rPr>
          <w:rFonts w:ascii="Cambria" w:hAnsi="Cambria" w:cs="Calibri"/>
          <w:sz w:val="24"/>
          <w:szCs w:val="24"/>
        </w:rPr>
        <w:t xml:space="preserve"> entre o fator erigido em critério de discrímen e a discriminação legal ocasionada em razão dele.</w:t>
      </w:r>
    </w:p>
    <w:p w14:paraId="455576CE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Destarte, o indeferimento do beneficio pela autarquia-ré não encontra suporte na legislação pátria, uma vez que a parte Autora preenche todos os requisitos necessários à concessão do acrésci</w:t>
      </w:r>
      <w:r w:rsidR="00CC5099" w:rsidRPr="00B80091">
        <w:rPr>
          <w:rFonts w:ascii="Cambria" w:hAnsi="Cambria"/>
          <w:sz w:val="24"/>
          <w:szCs w:val="24"/>
          <w:lang w:val="pt-BR"/>
        </w:rPr>
        <w:t>mo de 25% no valor do benefício de aposentadoria</w:t>
      </w:r>
      <w:r w:rsidRPr="00B80091">
        <w:rPr>
          <w:rFonts w:ascii="Cambria" w:hAnsi="Cambria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7D5294" w:rsidRPr="00B80091" w14:paraId="0984BD0A" w14:textId="77777777" w:rsidTr="00FE724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ABB965F" w14:textId="77777777" w:rsidR="007D5294" w:rsidRPr="00B80091" w:rsidRDefault="007D5294" w:rsidP="00FE7248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B80091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B80091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4454EC4B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8F9D3EA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7343633D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n.º 1.060/50;</w:t>
      </w:r>
    </w:p>
    <w:p w14:paraId="7B4313F1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 xml:space="preserve">3. A condenação Instituto Nacional do Seguro Social – INSS para conceder o adicional de 25% sobre o valor da aposentadoria, bem como pagar as parcelas atrasadas, desde a data </w:t>
      </w:r>
      <w:r w:rsidR="00CC5099" w:rsidRPr="00B80091">
        <w:rPr>
          <w:rFonts w:ascii="Cambria" w:hAnsi="Cambria"/>
          <w:sz w:val="24"/>
          <w:szCs w:val="24"/>
          <w:lang w:val="pt-BR"/>
        </w:rPr>
        <w:t>do requerimento administrativo</w:t>
      </w:r>
      <w:r w:rsidRPr="00B80091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moratórios, ambos incidentes até a data do efetivo pagamento;</w:t>
      </w:r>
    </w:p>
    <w:p w14:paraId="5760FD42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3EE0BECB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B80091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B80091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4F044836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25330FB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B80091">
        <w:rPr>
          <w:rFonts w:ascii="Cambria" w:hAnsi="Cambria"/>
          <w:sz w:val="24"/>
          <w:szCs w:val="24"/>
          <w:lang w:val="pt-BR"/>
        </w:rPr>
        <w:t>Pede deferimento.</w:t>
      </w:r>
    </w:p>
    <w:p w14:paraId="7C8B0690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0091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7C87CC67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0B982A2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B80091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67D53407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939CCB4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0091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396F0ABB" w14:textId="77777777" w:rsidR="007D5294" w:rsidRPr="00B80091" w:rsidRDefault="007D5294" w:rsidP="007D529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80091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73FB6CCA" w14:textId="77777777" w:rsidR="005615FB" w:rsidRPr="00B80091" w:rsidRDefault="005615FB">
      <w:pPr>
        <w:rPr>
          <w:rFonts w:ascii="Cambria" w:hAnsi="Cambria"/>
          <w:sz w:val="24"/>
          <w:szCs w:val="24"/>
        </w:rPr>
      </w:pPr>
    </w:p>
    <w:sectPr w:rsidR="005615FB" w:rsidRPr="00B80091" w:rsidSect="00FE72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F3E9" w14:textId="77777777" w:rsidR="004A2994" w:rsidRDefault="004A2994" w:rsidP="009C6C0B">
      <w:pPr>
        <w:spacing w:after="0" w:line="240" w:lineRule="auto"/>
      </w:pPr>
      <w:r>
        <w:separator/>
      </w:r>
    </w:p>
  </w:endnote>
  <w:endnote w:type="continuationSeparator" w:id="0">
    <w:p w14:paraId="0B454FFF" w14:textId="77777777" w:rsidR="004A2994" w:rsidRDefault="004A2994" w:rsidP="009C6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A8F5E" w14:textId="77777777" w:rsidR="00FE7248" w:rsidRDefault="00FE7248" w:rsidP="00FE724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E3AAFF5" w14:textId="77777777" w:rsidR="00FE7248" w:rsidRDefault="00FE7248" w:rsidP="00FE724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8B7D" w14:textId="77777777" w:rsidR="001B5FCA" w:rsidRDefault="001B5FCA" w:rsidP="001B5FCA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7B31D853" w14:textId="07FB4375" w:rsidR="00FE7248" w:rsidRPr="001B5FCA" w:rsidRDefault="00FE7248" w:rsidP="001B5FCA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699EE" w14:textId="77777777" w:rsidR="00B80091" w:rsidRDefault="00B800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97ED1" w14:textId="77777777" w:rsidR="004A2994" w:rsidRDefault="004A2994" w:rsidP="009C6C0B">
      <w:pPr>
        <w:spacing w:after="0" w:line="240" w:lineRule="auto"/>
      </w:pPr>
      <w:r>
        <w:separator/>
      </w:r>
    </w:p>
  </w:footnote>
  <w:footnote w:type="continuationSeparator" w:id="0">
    <w:p w14:paraId="3A397B6F" w14:textId="77777777" w:rsidR="004A2994" w:rsidRDefault="004A2994" w:rsidP="009C6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C4E95" w14:textId="77777777" w:rsidR="00B80091" w:rsidRDefault="00B800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8205B" w14:textId="77777777" w:rsidR="001B5FCA" w:rsidRDefault="001B5FCA" w:rsidP="001B5FCA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FA7BCDA" w14:textId="40347F65" w:rsidR="00FE7248" w:rsidRPr="001B5FCA" w:rsidRDefault="00FE7248" w:rsidP="001B5FCA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2CAB1" w14:textId="77777777" w:rsidR="00B80091" w:rsidRDefault="00B800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5294"/>
    <w:rsid w:val="001B5FCA"/>
    <w:rsid w:val="00404EE4"/>
    <w:rsid w:val="004352BB"/>
    <w:rsid w:val="00481B2E"/>
    <w:rsid w:val="004A2994"/>
    <w:rsid w:val="005615FB"/>
    <w:rsid w:val="005D30A6"/>
    <w:rsid w:val="0074508B"/>
    <w:rsid w:val="007906F0"/>
    <w:rsid w:val="007D5294"/>
    <w:rsid w:val="00892ED2"/>
    <w:rsid w:val="008A767A"/>
    <w:rsid w:val="009C6C0B"/>
    <w:rsid w:val="00B80091"/>
    <w:rsid w:val="00B86058"/>
    <w:rsid w:val="00CC5099"/>
    <w:rsid w:val="00CF4FBD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A8B52"/>
  <w15:chartTrackingRefBased/>
  <w15:docId w15:val="{7A8697F3-DF82-4305-A734-AF72B6DD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94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7D5294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7D5294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7D5294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7D5294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rsid w:val="007D5294"/>
  </w:style>
  <w:style w:type="paragraph" w:customStyle="1" w:styleId="NoSpacing1">
    <w:name w:val="No Spacing1"/>
    <w:qFormat/>
    <w:rsid w:val="007D5294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7D5294"/>
    <w:pPr>
      <w:ind w:left="720"/>
      <w:contextualSpacing/>
    </w:pPr>
    <w:rPr>
      <w:lang w:val="en-US"/>
    </w:rPr>
  </w:style>
  <w:style w:type="character" w:styleId="Refdenotaderodap">
    <w:name w:val="footnote reference"/>
    <w:uiPriority w:val="99"/>
    <w:semiHidden/>
    <w:rsid w:val="009C6C0B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rsid w:val="009C6C0B"/>
    <w:pPr>
      <w:spacing w:after="0" w:line="240" w:lineRule="auto"/>
    </w:pPr>
    <w:rPr>
      <w:rFonts w:ascii="Franklin Gothic Medium" w:eastAsia="Times New Roman" w:hAnsi="Franklin Gothic Medium"/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9C6C0B"/>
    <w:rPr>
      <w:rFonts w:ascii="Franklin Gothic Medium" w:eastAsia="Times New Roman" w:hAnsi="Franklin Gothic Medium" w:cs="Times New Roman"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rsid w:val="009C6C0B"/>
    <w:pPr>
      <w:spacing w:before="100" w:after="100" w:line="240" w:lineRule="auto"/>
    </w:pPr>
    <w:rPr>
      <w:rFonts w:ascii="Arial Unicode MS" w:eastAsia="Arial Unicode MS" w:hAnsi="Arial Unicode MS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2461</Words>
  <Characters>13292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