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3D53" w14:textId="77777777" w:rsidR="00223437" w:rsidRPr="00655E58" w:rsidRDefault="00223437" w:rsidP="00223437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655E58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655E58">
        <w:rPr>
          <w:rFonts w:ascii="Cambria" w:hAnsi="Cambria"/>
          <w:i/>
          <w:color w:val="FF0000"/>
          <w:sz w:val="24"/>
          <w:szCs w:val="24"/>
        </w:rPr>
        <w:t>(juízo que esta apreciando a demanda proposta)</w:t>
      </w:r>
    </w:p>
    <w:p w14:paraId="54695FBC" w14:textId="77777777" w:rsidR="00223437" w:rsidRPr="00655E58" w:rsidRDefault="00223437" w:rsidP="0022343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98A8D2E" w14:textId="77777777" w:rsidR="00223437" w:rsidRPr="00655E58" w:rsidRDefault="00223437" w:rsidP="00223437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3570E68" w14:textId="77777777" w:rsidR="00223437" w:rsidRPr="00655E58" w:rsidRDefault="00223437" w:rsidP="00223437">
      <w:pPr>
        <w:spacing w:before="240" w:after="240" w:line="360" w:lineRule="auto"/>
        <w:jc w:val="both"/>
        <w:rPr>
          <w:rFonts w:ascii="Cambria" w:hAnsi="Cambria" w:cs="Arial"/>
          <w:bCs/>
          <w:sz w:val="24"/>
          <w:szCs w:val="24"/>
          <w:u w:val="single"/>
        </w:rPr>
      </w:pPr>
      <w:r w:rsidRPr="00655E58">
        <w:rPr>
          <w:rFonts w:ascii="Cambria" w:hAnsi="Cambria" w:cs="Arial"/>
          <w:bCs/>
          <w:sz w:val="24"/>
          <w:szCs w:val="24"/>
        </w:rPr>
        <w:t xml:space="preserve">Processo </w:t>
      </w:r>
      <w:r w:rsidR="00E769E7" w:rsidRPr="00655E58">
        <w:rPr>
          <w:rFonts w:ascii="Cambria" w:hAnsi="Cambria" w:cs="Arial"/>
          <w:bCs/>
          <w:sz w:val="24"/>
          <w:szCs w:val="24"/>
        </w:rPr>
        <w:t>n.</w:t>
      </w:r>
      <w:r w:rsidR="00342A64" w:rsidRPr="00655E58">
        <w:rPr>
          <w:rFonts w:ascii="Cambria" w:hAnsi="Cambria" w:cs="Arial"/>
          <w:bCs/>
          <w:sz w:val="24"/>
          <w:szCs w:val="24"/>
        </w:rPr>
        <w:t>º...</w:t>
      </w:r>
    </w:p>
    <w:p w14:paraId="3DD06673" w14:textId="77777777" w:rsidR="00223437" w:rsidRPr="00655E58" w:rsidRDefault="00223437" w:rsidP="00223437">
      <w:pPr>
        <w:spacing w:before="240" w:after="240" w:line="360" w:lineRule="auto"/>
        <w:ind w:firstLine="851"/>
        <w:jc w:val="both"/>
        <w:rPr>
          <w:rFonts w:ascii="Cambria" w:hAnsi="Cambria" w:cs="Arial"/>
          <w:b/>
          <w:bCs/>
          <w:sz w:val="24"/>
          <w:szCs w:val="24"/>
          <w:u w:val="single"/>
        </w:rPr>
      </w:pPr>
    </w:p>
    <w:p w14:paraId="7EF72C3B" w14:textId="77777777" w:rsidR="00223437" w:rsidRPr="00655E58" w:rsidRDefault="00223437" w:rsidP="00223437">
      <w:pPr>
        <w:spacing w:before="240" w:after="240" w:line="360" w:lineRule="auto"/>
        <w:ind w:firstLine="851"/>
        <w:jc w:val="both"/>
        <w:rPr>
          <w:rFonts w:ascii="Cambria" w:hAnsi="Cambria" w:cs="Arial"/>
          <w:b/>
          <w:bCs/>
          <w:sz w:val="24"/>
          <w:szCs w:val="24"/>
          <w:u w:val="single"/>
        </w:rPr>
      </w:pPr>
    </w:p>
    <w:p w14:paraId="6B68C732" w14:textId="77777777" w:rsidR="00761D77" w:rsidRPr="00655E58" w:rsidRDefault="00223437" w:rsidP="00223437">
      <w:pPr>
        <w:spacing w:before="240" w:after="240" w:line="360" w:lineRule="auto"/>
        <w:ind w:firstLine="1134"/>
        <w:jc w:val="both"/>
        <w:rPr>
          <w:rFonts w:ascii="Cambria" w:hAnsi="Cambria" w:cs="Tahoma"/>
          <w:sz w:val="24"/>
          <w:szCs w:val="24"/>
        </w:rPr>
      </w:pPr>
      <w:r w:rsidRPr="00655E58">
        <w:rPr>
          <w:rFonts w:ascii="Cambria" w:hAnsi="Cambria" w:cs="Arial"/>
          <w:b/>
          <w:bCs/>
          <w:sz w:val="24"/>
          <w:szCs w:val="24"/>
        </w:rPr>
        <w:t>A PARTE AUTORA</w:t>
      </w:r>
      <w:r w:rsidRPr="00655E58">
        <w:rPr>
          <w:rFonts w:ascii="Cambria" w:hAnsi="Cambria" w:cs="Arial"/>
          <w:bCs/>
          <w:sz w:val="24"/>
          <w:szCs w:val="24"/>
        </w:rPr>
        <w:t>,</w:t>
      </w:r>
      <w:r w:rsidRPr="00655E58">
        <w:rPr>
          <w:rFonts w:ascii="Cambria" w:hAnsi="Cambria" w:cs="Arial"/>
          <w:b/>
          <w:bCs/>
          <w:sz w:val="24"/>
          <w:szCs w:val="24"/>
        </w:rPr>
        <w:t xml:space="preserve"> </w:t>
      </w:r>
      <w:r w:rsidRPr="00655E58">
        <w:rPr>
          <w:rFonts w:ascii="Cambria" w:hAnsi="Cambria" w:cs="Arial"/>
          <w:bCs/>
          <w:sz w:val="24"/>
          <w:szCs w:val="24"/>
        </w:rPr>
        <w:t xml:space="preserve">já qualificada na ação que move contra o </w:t>
      </w:r>
      <w:r w:rsidRPr="00655E58">
        <w:rPr>
          <w:rFonts w:ascii="Cambria" w:hAnsi="Cambria" w:cs="Arial"/>
          <w:b/>
          <w:bCs/>
          <w:sz w:val="24"/>
          <w:szCs w:val="24"/>
        </w:rPr>
        <w:t>INSTITUTO NACIONAL DO SEGURO SOCIAL – INSS</w:t>
      </w:r>
      <w:r w:rsidRPr="00655E58">
        <w:rPr>
          <w:rFonts w:ascii="Cambria" w:hAnsi="Cambria" w:cs="Arial"/>
          <w:bCs/>
          <w:sz w:val="24"/>
          <w:szCs w:val="24"/>
        </w:rPr>
        <w:t>, igualmente qualificado, vem, perante Vossa Excelência,</w:t>
      </w:r>
      <w:r w:rsidR="00761D77" w:rsidRPr="00655E58">
        <w:rPr>
          <w:rFonts w:ascii="Cambria" w:hAnsi="Cambria" w:cs="Arial"/>
          <w:bCs/>
          <w:sz w:val="24"/>
          <w:szCs w:val="24"/>
        </w:rPr>
        <w:t xml:space="preserve"> em atenção à perícia </w:t>
      </w:r>
      <w:r w:rsidR="00081A57" w:rsidRPr="00655E58">
        <w:rPr>
          <w:rFonts w:ascii="Cambria" w:hAnsi="Cambria" w:cs="Arial"/>
          <w:bCs/>
          <w:sz w:val="24"/>
          <w:szCs w:val="24"/>
        </w:rPr>
        <w:t>médica</w:t>
      </w:r>
      <w:r w:rsidR="00E769E7" w:rsidRPr="00655E58">
        <w:rPr>
          <w:rFonts w:ascii="Cambria" w:hAnsi="Cambria" w:cs="Arial"/>
          <w:bCs/>
          <w:sz w:val="24"/>
          <w:szCs w:val="24"/>
        </w:rPr>
        <w:t xml:space="preserve"> realizada</w:t>
      </w:r>
      <w:r w:rsidR="00761D77" w:rsidRPr="00655E58">
        <w:rPr>
          <w:rFonts w:ascii="Cambria" w:hAnsi="Cambria" w:cs="Arial"/>
          <w:bCs/>
          <w:sz w:val="24"/>
          <w:szCs w:val="24"/>
        </w:rPr>
        <w:t>, expor e requerer o que segue</w:t>
      </w:r>
      <w:r w:rsidR="00761D77" w:rsidRPr="00655E58">
        <w:rPr>
          <w:rFonts w:ascii="Cambria" w:hAnsi="Cambria" w:cs="Tahoma"/>
          <w:sz w:val="24"/>
          <w:szCs w:val="24"/>
        </w:rPr>
        <w:t>.</w:t>
      </w:r>
    </w:p>
    <w:p w14:paraId="2DAEBB6E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No exame pericial realizado na Parte Autora pelo expert do juízo, Dr. …, foram identificadas sequelas parciais e permanentes naquela, notadamente no membro … (local afetado), que reduzem sua capacidade laboral permanentemente.</w:t>
      </w:r>
    </w:p>
    <w:p w14:paraId="235944F4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Entretanto, conforme consta no laudo pericial, a Parte Autora está elegível para exercer outras funções que não exijam esforço físico  e/ou permanência em pé/sentado por longos períodos de tempo, existindo a possibilidade de readaptação funcional compatível com sua restrição física.</w:t>
      </w:r>
    </w:p>
    <w:p w14:paraId="32B6FDE3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FF0000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 xml:space="preserve">Nas palavras do </w:t>
      </w:r>
      <w:r w:rsidRPr="00655E58">
        <w:rPr>
          <w:rFonts w:ascii="Cambria" w:hAnsi="Cambria"/>
          <w:i/>
          <w:sz w:val="24"/>
          <w:szCs w:val="24"/>
          <w:lang w:val="pt-BR"/>
        </w:rPr>
        <w:t>expert</w:t>
      </w:r>
      <w:r w:rsidRPr="00655E58">
        <w:rPr>
          <w:rFonts w:ascii="Cambria" w:hAnsi="Cambria"/>
          <w:sz w:val="24"/>
          <w:szCs w:val="24"/>
          <w:lang w:val="pt-BR"/>
        </w:rPr>
        <w:t xml:space="preserve">, a Parte Autora </w:t>
      </w:r>
      <w:r w:rsidRPr="00655E58">
        <w:rPr>
          <w:rFonts w:ascii="Cambria" w:hAnsi="Cambria"/>
          <w:i/>
          <w:sz w:val="24"/>
          <w:szCs w:val="24"/>
          <w:lang w:val="pt-BR"/>
        </w:rPr>
        <w:t>“...”</w:t>
      </w:r>
      <w:r w:rsidRPr="00655E58">
        <w:rPr>
          <w:rFonts w:ascii="Cambria" w:hAnsi="Cambria"/>
          <w:sz w:val="24"/>
          <w:szCs w:val="24"/>
          <w:lang w:val="pt-BR"/>
        </w:rPr>
        <w:t xml:space="preserve"> </w:t>
      </w:r>
      <w:r w:rsidRPr="00655E58">
        <w:rPr>
          <w:rFonts w:ascii="Cambria" w:hAnsi="Cambria"/>
          <w:color w:val="FF0000"/>
          <w:sz w:val="24"/>
          <w:szCs w:val="24"/>
          <w:lang w:val="pt-BR"/>
        </w:rPr>
        <w:t>(extrair trecho do laudo dando conta da capacidade residual da parte).</w:t>
      </w:r>
    </w:p>
    <w:p w14:paraId="3136BE9D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Desta forma, comprovada a necessidade de readaptação laboral da Parte Autora, merece aplicação, via de consequência, a regra contida no art. 62, da Lei n.º 8.213/91, que determina:</w:t>
      </w:r>
    </w:p>
    <w:p w14:paraId="1C3B5C03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>Art. 62. O segurado em gozo de auxílio-doença, insusceptível de recuperação para sua atividade habitual, deverá submeter-se a processo de reabilitação profissional para o exercício de outra atividade. Não cessará o benefício até que seja dado como habilitado para o desempenho de nova atividade que lhe garanta a subsistência ou, quando quando considerado não-recuperável, for aposentado por invalidez.</w:t>
      </w:r>
    </w:p>
    <w:p w14:paraId="2C45A3CD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Assim como o art. 89 da mesma lei:</w:t>
      </w:r>
    </w:p>
    <w:p w14:paraId="06A9B89B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lastRenderedPageBreak/>
        <w:t>Art. 89. A habilitação e a reabilitação profissional e social deverão proporcionar ao beneficiário incapacitado parcial ou totalmente para o trabalho, e às pessoas portadoras de deficiência, os meios para a (re)educação e de (re)adaptação profissional e social indicados para participar do mercado de trabalho e do contexto em que vive.</w:t>
      </w:r>
    </w:p>
    <w:p w14:paraId="381BD093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Acerca do tema, já posicionaram-se os Tribunais Pátrios:</w:t>
      </w:r>
    </w:p>
    <w:p w14:paraId="1E1D6F12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 xml:space="preserve">Apelação Cível e Reexame Necessário. </w:t>
      </w:r>
      <w:r w:rsidRPr="00655E58">
        <w:rPr>
          <w:rFonts w:ascii="Cambria" w:hAnsi="Cambria"/>
          <w:b/>
          <w:sz w:val="20"/>
          <w:szCs w:val="20"/>
          <w:lang w:val="pt-BR"/>
        </w:rPr>
        <w:t>Infortunística. Auxiliar de Produção. lesão do ombro direito (CID M75). Incapacidade total e permanente para o exercício das suas atividades laborais. Necessidade de reabilitação. Auxílio-doença devido, na forma do art. 62 da Lei n 8.213/91</w:t>
      </w:r>
      <w:r w:rsidRPr="00655E58">
        <w:rPr>
          <w:rFonts w:ascii="Cambria" w:hAnsi="Cambria"/>
          <w:sz w:val="20"/>
          <w:szCs w:val="20"/>
          <w:lang w:val="pt-BR"/>
        </w:rPr>
        <w:t>. Adequação dos índices de atualização. Sentença reformada. Recursos voluntários e remessa necessária parcialmente providos. O segurado em gozo de auxílio-doença, insuscetível de recuperação para sua atividade habitual, deverá submeter-se a processo de reabilitação profissional para o exercício de outra atividade. Não cessará o benefício até que seja dado como habilitado para o desempenho de nova atividade que lhe garanta a subsistência ou, quando considerado não recuperável, for aposentado por invalidez. (TJSC, Apelação Cível n. 2014.022584-9, de Joaçaba, rel. Des. Pedro Manoel Abreu, j. 13-01-2015, sem grifo no original).</w:t>
      </w:r>
    </w:p>
    <w:p w14:paraId="6A3ACCF2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6CD53DB9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b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 xml:space="preserve">Acidente do trabalho –  Acidente típico –  Fratura no punho esquerdo –  </w:t>
      </w:r>
      <w:r w:rsidRPr="00655E58">
        <w:rPr>
          <w:rFonts w:ascii="Cambria" w:hAnsi="Cambria"/>
          <w:b/>
          <w:sz w:val="20"/>
          <w:szCs w:val="20"/>
          <w:lang w:val="pt-BR"/>
        </w:rPr>
        <w:t>Laudo pericial que dá conta da redução parcial e permanente da capacidade laborativa do autor e indica a necessidade de encaminhamento à reabilitação profissional –  Auxílio-doença devido durante o período de reabilitação.</w:t>
      </w:r>
    </w:p>
    <w:p w14:paraId="4BADCBEE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>Aposentadoria por invalidez –  Descabimento –  Extensão das patologias e condições subjetivas que não autorizam a aposentação.</w:t>
      </w:r>
    </w:p>
    <w:p w14:paraId="65754EB0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>Termo inicial a partir do dia seguinte à cessação do auxílio-doença –  Juros moratórios e correção monetária –  Incidência da Lei nº 11.960/09, observando-se, contudo, o decidido pelo STF nas ADIs nº 4.357, 4.372, 4.400 e 4.425, e na Repercussão Geral nº 810 –  Honorários advocatícios fixados adequadamente.</w:t>
      </w:r>
    </w:p>
    <w:p w14:paraId="60589EFC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>Reexame necessário provido em parte; apelo do obreiro improvido. (TJSP, Relator(a): Afonso Celso da Silva; Comarca: Guarujá; Órgão julgador: 17ª Câmara de Direito Público; Data do julgamento: 24/11/2015; Data de registro: 25/11/2015)</w:t>
      </w:r>
    </w:p>
    <w:p w14:paraId="42D81CB6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77D252EC" w14:textId="77777777" w:rsidR="000B1716" w:rsidRPr="00655E58" w:rsidRDefault="000B1716" w:rsidP="000B1716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655E58">
        <w:rPr>
          <w:rFonts w:ascii="Cambria" w:hAnsi="Cambria"/>
          <w:sz w:val="20"/>
          <w:szCs w:val="20"/>
          <w:lang w:val="pt-BR"/>
        </w:rPr>
        <w:t xml:space="preserve">DIREITO PREVIDENCIÁRIO. AÇÃO ACIDENTÁRIA. PRETENSÃO DE CONCESSÃO DE APOSENTADORIA POR INVALIDEZ OU AUXÍLIODOENÇA. SENTENÇA QUE RECONHECEU O DIREITO AO RECEBIMENTO DO BENEFÍCIO DE AUXÍLIO-DOENÇA ACIDENTÁRIO. AUTOR QUE APRESENTA QUADRO DE LESÃO DO MANGUITO ROTADOR E CAPSULITE ADESIVA EM OMBRO DIREITO. SEGURADO QUE EXERCIA A PROFISSÃO DE MONTADOR DE BLOCOS EM METALÚRGICA. </w:t>
      </w:r>
      <w:r w:rsidRPr="00655E58">
        <w:rPr>
          <w:rFonts w:ascii="Cambria" w:hAnsi="Cambria"/>
          <w:b/>
          <w:sz w:val="20"/>
          <w:szCs w:val="20"/>
          <w:lang w:val="pt-BR"/>
        </w:rPr>
        <w:t xml:space="preserve">LAUDO MÉDICO PERICIAL QUE ATESTA A INCAPACIDADE PARCIAL E PERMANENTE PARA O DEMANDANTE EXERCER SUA ATIVIDADE PROFISSIONAL HABITUAL, PASSÍVEL, PORÉM, DE REABILITAÇÃO PROFISSIONAL. NEXO ETIOLÓGICO COMPROVADO. RESTABELECIMENTO DO BENEFÍCIO DE AUXÍLIO-DOENÇA ACIDENTÁRIO DEVIDO </w:t>
      </w:r>
      <w:r w:rsidRPr="00655E58">
        <w:rPr>
          <w:rFonts w:ascii="Cambria" w:hAnsi="Cambria"/>
          <w:sz w:val="20"/>
          <w:szCs w:val="20"/>
          <w:lang w:val="pt-BR"/>
        </w:rPr>
        <w:t xml:space="preserve">(ART. 59, DA LEI N. 8.213/91). Comprovado o infortúnio laboral e a incapacidade para o exercício da atividade profissional que exercia habitualmente, </w:t>
      </w:r>
      <w:r w:rsidRPr="00655E58">
        <w:rPr>
          <w:rFonts w:ascii="Cambria" w:hAnsi="Cambria"/>
          <w:b/>
          <w:sz w:val="20"/>
          <w:szCs w:val="20"/>
          <w:lang w:val="pt-BR"/>
        </w:rPr>
        <w:t>o trabalhador faz jus ao benefício de auxílio-doença acidentário até que seja reabilitado profissionalmente (artigo 62, da Lei n. 8.213/91)</w:t>
      </w:r>
      <w:r w:rsidRPr="00655E58">
        <w:rPr>
          <w:rFonts w:ascii="Cambria" w:hAnsi="Cambria"/>
          <w:sz w:val="20"/>
          <w:szCs w:val="20"/>
          <w:lang w:val="pt-BR"/>
        </w:rPr>
        <w:t xml:space="preserve">. MARCO INICIAL. DIA SEGUINTE À CESSAÇÃO DO BENEFÍCIO DE </w:t>
      </w:r>
      <w:r w:rsidRPr="00655E58">
        <w:rPr>
          <w:rFonts w:ascii="Cambria" w:hAnsi="Cambria"/>
          <w:sz w:val="20"/>
          <w:szCs w:val="20"/>
          <w:lang w:val="pt-BR"/>
        </w:rPr>
        <w:lastRenderedPageBreak/>
        <w:t>AUXÍLIO-DOENÇA CONCEDIDO NA SEARA ADMINISTRATIVA. O termo inicial do restabelecimento do benefício de auxílio-doença acidentário, será o dia seguinte ao da cessação deste último benefício, até o dia anterior ao retorno do segurado à atividade laborativa. CONSECTÁRIOS LEGAIS. APLICABILIDADE DA LEI N. 11.960/2009 AOS JUROS MORATÓRIOS E À CORREÇÃO MONETÁRIA. HONORÁRIOS ADVOCATÍCIOS ARBITRADOS NOS TERMOS DA SÚMULA 111 DO STJ EM 10% SOBRE O VALOR DAS PARCELAS CORRIGIDAS E VENCIDAS ATÉ A DATA DA PUBLICAÇÃO DA SENTENÇA. CUSTAS LEGAIS DEVIDAS PELA METADE. SENTENÇA REFORMADA. RECURSOS DE APELAÇÃO DESPROVIDOS. SENTENÇA CONFIRMADA EM REEXAME NECESSÁRIO. (TJSC, Apelação Cível n. 2014.070916-3, de Joinville, rel. Des. Carlos Adilson Silva, j. 03-02-2015, sem grifo no original).</w:t>
      </w:r>
    </w:p>
    <w:p w14:paraId="5AC41BA6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Portanto, diante do que foi exposto, restam presentes todos os requisitos para a Parte Autora submeter-se a processo de reabilitação profissional, o qual deverá ser realizado pelo próprio INSS, mediante agendamento de entrevista com assistente social.</w:t>
      </w:r>
    </w:p>
    <w:p w14:paraId="30658925" w14:textId="77777777" w:rsidR="000B1716" w:rsidRPr="00655E58" w:rsidRDefault="000B1716" w:rsidP="000B171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Necessário frisar que, enquanto a Parte Autora aguardar e permanecer na reabilitação profissional, deverá o INSS manter a concessão do benefício de auxílio-doença àquela, até que essa seja considerada readaptada para reingressar no mercado de trabalho.</w:t>
      </w:r>
    </w:p>
    <w:p w14:paraId="424B221D" w14:textId="77777777" w:rsidR="00761D77" w:rsidRPr="00655E58" w:rsidRDefault="00761D77" w:rsidP="00B669A8">
      <w:pPr>
        <w:spacing w:before="240" w:after="240" w:line="360" w:lineRule="auto"/>
        <w:ind w:firstLine="1134"/>
        <w:jc w:val="both"/>
        <w:rPr>
          <w:rFonts w:ascii="Cambria" w:hAnsi="Cambria" w:cs="Tahoma"/>
          <w:sz w:val="24"/>
          <w:szCs w:val="24"/>
        </w:rPr>
      </w:pPr>
      <w:r w:rsidRPr="00655E58">
        <w:rPr>
          <w:rFonts w:ascii="Cambria" w:hAnsi="Cambria" w:cs="Tahoma"/>
          <w:sz w:val="24"/>
          <w:szCs w:val="24"/>
        </w:rPr>
        <w:t>Nestes termos, requer a procedência dos pedidos da inicial e o prosseguimento do feito na sua forma legal.</w:t>
      </w:r>
    </w:p>
    <w:p w14:paraId="57688BEC" w14:textId="77777777" w:rsidR="00223437" w:rsidRPr="00655E58" w:rsidRDefault="00223437" w:rsidP="0022343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55E58">
        <w:rPr>
          <w:rFonts w:ascii="Cambria" w:hAnsi="Cambria"/>
          <w:sz w:val="24"/>
          <w:szCs w:val="24"/>
          <w:lang w:val="pt-BR"/>
        </w:rPr>
        <w:t>Pede deferimento.</w:t>
      </w:r>
    </w:p>
    <w:p w14:paraId="60CCD152" w14:textId="77777777" w:rsidR="00223437" w:rsidRPr="00655E58" w:rsidRDefault="00223437" w:rsidP="0022343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55E5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2C8728E8" w14:textId="77777777" w:rsidR="00081A57" w:rsidRPr="00655E58" w:rsidRDefault="00081A57" w:rsidP="0022343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8391842" w14:textId="77777777" w:rsidR="00223437" w:rsidRPr="00655E58" w:rsidRDefault="00223437" w:rsidP="00223437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55E5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sectPr w:rsidR="00223437" w:rsidRPr="00655E58" w:rsidSect="009246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EAA02" w14:textId="77777777" w:rsidR="00581AD2" w:rsidRDefault="00581AD2" w:rsidP="00761D77">
      <w:pPr>
        <w:spacing w:after="0" w:line="240" w:lineRule="auto"/>
      </w:pPr>
      <w:r>
        <w:separator/>
      </w:r>
    </w:p>
  </w:endnote>
  <w:endnote w:type="continuationSeparator" w:id="0">
    <w:p w14:paraId="018FE82E" w14:textId="77777777" w:rsidR="00581AD2" w:rsidRDefault="00581AD2" w:rsidP="0076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B897" w14:textId="77777777" w:rsidR="00655E58" w:rsidRDefault="00655E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777B0" w14:textId="77777777" w:rsidR="0071379E" w:rsidRDefault="0071379E" w:rsidP="0071379E">
    <w:pPr>
      <w:pStyle w:val="Rodap"/>
      <w:tabs>
        <w:tab w:val="clear" w:pos="4252"/>
        <w:tab w:val="clear" w:pos="8504"/>
      </w:tabs>
      <w:jc w:val="center"/>
      <w:rPr>
        <w:rFonts w:ascii="Arial" w:hAnsi="Arial" w:cs="Arial"/>
        <w:color w:val="C0C0C0"/>
        <w:sz w:val="20"/>
        <w:szCs w:val="18"/>
      </w:rPr>
    </w:pPr>
    <w:r>
      <w:rPr>
        <w:rFonts w:ascii="Arial" w:hAnsi="Arial" w:cs="Arial"/>
        <w:color w:val="C0C0C0"/>
        <w:sz w:val="20"/>
        <w:szCs w:val="18"/>
      </w:rPr>
      <w:t>Produto original do site: peticaoemword.com.br</w:t>
    </w:r>
  </w:p>
  <w:p w14:paraId="17C41194" w14:textId="6ED48F39" w:rsidR="0092461C" w:rsidRPr="0071379E" w:rsidRDefault="0092461C" w:rsidP="0071379E">
    <w:pPr>
      <w:pStyle w:val="Rodap"/>
      <w:tabs>
        <w:tab w:val="clear" w:pos="4252"/>
        <w:tab w:val="clear" w:pos="8504"/>
      </w:tabs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B0396" w14:textId="77777777" w:rsidR="00655E58" w:rsidRDefault="00655E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47CDC" w14:textId="77777777" w:rsidR="00581AD2" w:rsidRDefault="00581AD2" w:rsidP="00761D77">
      <w:pPr>
        <w:spacing w:after="0" w:line="240" w:lineRule="auto"/>
      </w:pPr>
      <w:r>
        <w:separator/>
      </w:r>
    </w:p>
  </w:footnote>
  <w:footnote w:type="continuationSeparator" w:id="0">
    <w:p w14:paraId="327A3CB2" w14:textId="77777777" w:rsidR="00581AD2" w:rsidRDefault="00581AD2" w:rsidP="0076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CF50D" w14:textId="77777777" w:rsidR="00655E58" w:rsidRDefault="00655E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DDCA" w14:textId="77777777" w:rsidR="0071379E" w:rsidRDefault="0071379E" w:rsidP="0071379E">
    <w:pPr>
      <w:pStyle w:val="Cabealho"/>
      <w:spacing w:after="24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29013EB" w14:textId="3C4FF3FC" w:rsidR="0092461C" w:rsidRPr="0071379E" w:rsidRDefault="0092461C" w:rsidP="0071379E">
    <w:pPr>
      <w:pStyle w:val="Cabealho"/>
      <w:spacing w:after="24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B744" w14:textId="77777777" w:rsidR="00655E58" w:rsidRDefault="00655E5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D77"/>
    <w:rsid w:val="00081A57"/>
    <w:rsid w:val="000B1716"/>
    <w:rsid w:val="00112ED8"/>
    <w:rsid w:val="00223437"/>
    <w:rsid w:val="00342A64"/>
    <w:rsid w:val="00382C03"/>
    <w:rsid w:val="003C18E0"/>
    <w:rsid w:val="003F1C9D"/>
    <w:rsid w:val="00581AD2"/>
    <w:rsid w:val="00655E58"/>
    <w:rsid w:val="0071379E"/>
    <w:rsid w:val="00736918"/>
    <w:rsid w:val="00761D77"/>
    <w:rsid w:val="007A570D"/>
    <w:rsid w:val="00831687"/>
    <w:rsid w:val="0092461C"/>
    <w:rsid w:val="00B669A8"/>
    <w:rsid w:val="00B87668"/>
    <w:rsid w:val="00C66BA4"/>
    <w:rsid w:val="00E7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793D5823"/>
  <w15:chartTrackingRefBased/>
  <w15:docId w15:val="{FA65C08E-6D60-46F4-A547-B224746C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D7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61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761D7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nhideWhenUsed/>
    <w:rsid w:val="00761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rsid w:val="00761D77"/>
    <w:rPr>
      <w:rFonts w:ascii="Calibri" w:eastAsia="Calibri" w:hAnsi="Calibri" w:cs="Times New Roman"/>
    </w:rPr>
  </w:style>
  <w:style w:type="character" w:styleId="Nmerodepgina">
    <w:name w:val="page number"/>
    <w:basedOn w:val="Fontepargpadro"/>
    <w:rsid w:val="00761D77"/>
  </w:style>
  <w:style w:type="paragraph" w:styleId="Ttulo">
    <w:name w:val="Title"/>
    <w:basedOn w:val="Normal"/>
    <w:link w:val="TtuloChar"/>
    <w:qFormat/>
    <w:rsid w:val="00761D77"/>
    <w:pPr>
      <w:jc w:val="center"/>
    </w:pPr>
    <w:rPr>
      <w:rFonts w:ascii="Verdana" w:eastAsia="Times New Roman" w:hAnsi="Verdana"/>
      <w:b/>
      <w:bCs/>
      <w:u w:val="single"/>
      <w:lang w:val="x-none"/>
    </w:rPr>
  </w:style>
  <w:style w:type="character" w:customStyle="1" w:styleId="TtuloChar">
    <w:name w:val="Título Char"/>
    <w:link w:val="Ttulo"/>
    <w:rsid w:val="00761D77"/>
    <w:rPr>
      <w:rFonts w:ascii="Verdana" w:eastAsia="Times New Roman" w:hAnsi="Verdana" w:cs="Times New Roman"/>
      <w:b/>
      <w:bCs/>
      <w:u w:val="single"/>
      <w:lang w:val="x-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1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61D77"/>
    <w:rPr>
      <w:rFonts w:ascii="Tahoma" w:eastAsia="Calibri" w:hAnsi="Tahoma" w:cs="Tahoma"/>
      <w:sz w:val="16"/>
      <w:szCs w:val="16"/>
    </w:rPr>
  </w:style>
  <w:style w:type="paragraph" w:customStyle="1" w:styleId="NoSpacing1">
    <w:name w:val="No Spacing1"/>
    <w:qFormat/>
    <w:rsid w:val="00B669A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983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