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F8B36" w14:textId="77777777" w:rsidR="00A9482C" w:rsidRPr="00A9482C" w:rsidRDefault="00A9482C">
      <w:pPr>
        <w:widowControl w:val="0"/>
        <w:autoSpaceDE w:val="0"/>
        <w:autoSpaceDN w:val="0"/>
        <w:adjustRightInd w:val="0"/>
        <w:spacing w:after="170" w:line="266" w:lineRule="atLeast"/>
        <w:jc w:val="both"/>
        <w:rPr>
          <w:rFonts w:ascii="Cambria" w:hAnsi="Cambria" w:cs="Times"/>
          <w:caps/>
          <w:color w:val="000000"/>
          <w:kern w:val="0"/>
          <w:sz w:val="23"/>
          <w:szCs w:val="23"/>
        </w:rPr>
      </w:pPr>
      <w:r w:rsidRPr="00A9482C">
        <w:rPr>
          <w:rFonts w:ascii="Cambria" w:hAnsi="Cambria" w:cs="Times"/>
          <w:caps/>
          <w:color w:val="000000"/>
          <w:kern w:val="0"/>
          <w:sz w:val="23"/>
          <w:szCs w:val="23"/>
        </w:rPr>
        <w:t>17. AGRAVo DE INSTRUMENTo</w:t>
      </w:r>
    </w:p>
    <w:p w14:paraId="364C4CA4" w14:textId="77777777" w:rsidR="00A9482C" w:rsidRPr="00A9482C" w:rsidRDefault="00A9482C">
      <w:pPr>
        <w:widowControl w:val="0"/>
        <w:autoSpaceDE w:val="0"/>
        <w:autoSpaceDN w:val="0"/>
        <w:adjustRightInd w:val="0"/>
        <w:spacing w:before="142" w:after="0" w:line="218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caps/>
          <w:color w:val="000000"/>
          <w:kern w:val="0"/>
          <w:sz w:val="19"/>
          <w:szCs w:val="19"/>
        </w:rPr>
        <w:t>EXMo. SR. DR. JUIZ DA ...... VARA DA JUSTIÇA DO TRABALHO.</w:t>
      </w:r>
    </w:p>
    <w:p w14:paraId="282507FF" w14:textId="77777777" w:rsidR="00A9482C" w:rsidRPr="00A9482C" w:rsidRDefault="00A9482C">
      <w:pPr>
        <w:widowControl w:val="0"/>
        <w:autoSpaceDE w:val="0"/>
        <w:autoSpaceDN w:val="0"/>
        <w:adjustRightInd w:val="0"/>
        <w:spacing w:after="85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2FB08200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Roberto Sena, já qualificado nos autos do Processo n. 1.622/84, que move contra Indústria e Comé</w:t>
      </w:r>
      <w:r w:rsidRPr="00A9482C">
        <w:rPr>
          <w:rFonts w:ascii="Cambria" w:hAnsi="Cambria" w:cs="Times"/>
          <w:kern w:val="0"/>
          <w:sz w:val="19"/>
          <w:szCs w:val="19"/>
        </w:rPr>
        <w:t xml:space="preserve">rcio Lapa Ltda., inconformado com a r. decisão de </w:t>
      </w:r>
    </w:p>
    <w:p w14:paraId="217814F7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V. Exa. que julgou intempestivo o recurso ordinário interposto para o Egrégio Tribunal Regional do Trabalho, vem, mui respeitosamente, por seu advogado e procurador, infra-assinado, man</w:t>
      </w:r>
      <w:r w:rsidRPr="00A9482C">
        <w:rPr>
          <w:rFonts w:ascii="Cambria" w:hAnsi="Cambria" w:cs="Times"/>
          <w:kern w:val="0"/>
          <w:sz w:val="19"/>
          <w:szCs w:val="19"/>
        </w:rPr>
        <w:softHyphen/>
        <w:t xml:space="preserve">dato nos autos, interpor </w:t>
      </w:r>
      <w:r w:rsidRPr="00A9482C">
        <w:rPr>
          <w:rFonts w:ascii="Cambria" w:hAnsi="Cambria" w:cs="Times"/>
          <w:i/>
          <w:iCs/>
          <w:kern w:val="0"/>
          <w:sz w:val="19"/>
          <w:szCs w:val="19"/>
        </w:rPr>
        <w:t>agravo de instrumento</w:t>
      </w:r>
      <w:r w:rsidRPr="00A9482C">
        <w:rPr>
          <w:rFonts w:ascii="Cambria" w:hAnsi="Cambria" w:cs="Times"/>
          <w:kern w:val="0"/>
          <w:sz w:val="19"/>
          <w:szCs w:val="19"/>
        </w:rPr>
        <w:t>,</w:t>
      </w:r>
      <w:r w:rsidRPr="00A9482C">
        <w:rPr>
          <w:rFonts w:ascii="Cambria" w:hAnsi="Cambria" w:cs="Times"/>
          <w:i/>
          <w:iCs/>
          <w:kern w:val="0"/>
          <w:sz w:val="19"/>
          <w:szCs w:val="19"/>
        </w:rPr>
        <w:t xml:space="preserve"> </w:t>
      </w:r>
      <w:r w:rsidRPr="00A9482C">
        <w:rPr>
          <w:rFonts w:ascii="Cambria" w:hAnsi="Cambria" w:cs="Times"/>
          <w:kern w:val="0"/>
          <w:sz w:val="19"/>
          <w:szCs w:val="19"/>
        </w:rPr>
        <w:t>para o que, juntando à presente a minuta do agravo, requer o traslado das seguintes peças:</w:t>
      </w:r>
    </w:p>
    <w:p w14:paraId="16C90ED7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i/>
          <w:iCs/>
          <w:kern w:val="0"/>
          <w:sz w:val="19"/>
          <w:szCs w:val="19"/>
        </w:rPr>
        <w:t>a</w:t>
      </w:r>
      <w:r w:rsidRPr="00A9482C">
        <w:rPr>
          <w:rFonts w:ascii="Cambria" w:hAnsi="Cambria" w:cs="Times"/>
          <w:kern w:val="0"/>
          <w:sz w:val="19"/>
          <w:szCs w:val="19"/>
        </w:rPr>
        <w:t>) procuração de fls. ......;</w:t>
      </w:r>
    </w:p>
    <w:p w14:paraId="3A4B100B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i/>
          <w:iCs/>
          <w:kern w:val="0"/>
          <w:sz w:val="19"/>
          <w:szCs w:val="19"/>
        </w:rPr>
        <w:t>b</w:t>
      </w:r>
      <w:r w:rsidRPr="00A9482C">
        <w:rPr>
          <w:rFonts w:ascii="Cambria" w:hAnsi="Cambria" w:cs="Times"/>
          <w:kern w:val="0"/>
          <w:sz w:val="19"/>
          <w:szCs w:val="19"/>
        </w:rPr>
        <w:t>) sentença de fls. ......;</w:t>
      </w:r>
    </w:p>
    <w:p w14:paraId="6CB349D7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i/>
          <w:iCs/>
          <w:kern w:val="0"/>
          <w:sz w:val="19"/>
          <w:szCs w:val="19"/>
        </w:rPr>
        <w:t>c</w:t>
      </w:r>
      <w:r w:rsidRPr="00A9482C">
        <w:rPr>
          <w:rFonts w:ascii="Cambria" w:hAnsi="Cambria" w:cs="Times"/>
          <w:kern w:val="0"/>
          <w:sz w:val="19"/>
          <w:szCs w:val="19"/>
        </w:rPr>
        <w:t>) recurso ordinário de fls. ......;</w:t>
      </w:r>
    </w:p>
    <w:p w14:paraId="3524A0C3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i/>
          <w:iCs/>
          <w:kern w:val="0"/>
          <w:sz w:val="19"/>
          <w:szCs w:val="19"/>
        </w:rPr>
        <w:t>d</w:t>
      </w:r>
      <w:r w:rsidRPr="00A9482C">
        <w:rPr>
          <w:rFonts w:ascii="Cambria" w:hAnsi="Cambria" w:cs="Times"/>
          <w:kern w:val="0"/>
          <w:sz w:val="19"/>
          <w:szCs w:val="19"/>
        </w:rPr>
        <w:t>) r. despacho de fls. ...... .</w:t>
      </w:r>
    </w:p>
    <w:p w14:paraId="593822CB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P. Deferimento.</w:t>
      </w:r>
    </w:p>
    <w:p w14:paraId="599BAA4C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Localidade e data</w:t>
      </w:r>
    </w:p>
    <w:p w14:paraId="43E11CAC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Assinatura</w:t>
      </w:r>
    </w:p>
    <w:p w14:paraId="2E15BE03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1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13275687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64" w:lineRule="atLeast"/>
        <w:jc w:val="both"/>
        <w:rPr>
          <w:rFonts w:ascii="Cambria" w:hAnsi="Cambria" w:cs="Times"/>
          <w:i/>
          <w:iCs/>
          <w:kern w:val="0"/>
          <w:sz w:val="23"/>
          <w:szCs w:val="23"/>
        </w:rPr>
      </w:pPr>
      <w:r w:rsidRPr="00A9482C">
        <w:rPr>
          <w:rFonts w:ascii="Cambria" w:hAnsi="Cambria" w:cs="Times"/>
          <w:i/>
          <w:iCs/>
          <w:kern w:val="0"/>
          <w:sz w:val="23"/>
          <w:szCs w:val="23"/>
        </w:rPr>
        <w:t>Minuta (razões) do agravo de instrumento</w:t>
      </w:r>
    </w:p>
    <w:p w14:paraId="672F3FEC" w14:textId="77777777" w:rsidR="00A9482C" w:rsidRPr="00A9482C" w:rsidRDefault="00A9482C">
      <w:pPr>
        <w:widowControl w:val="0"/>
        <w:autoSpaceDE w:val="0"/>
        <w:autoSpaceDN w:val="0"/>
        <w:adjustRightInd w:val="0"/>
        <w:spacing w:before="170" w:after="283" w:line="220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caps/>
          <w:color w:val="000000"/>
          <w:kern w:val="0"/>
          <w:sz w:val="19"/>
          <w:szCs w:val="19"/>
        </w:rPr>
        <w:t>EGRÉGIO TRIBUNAL.</w:t>
      </w:r>
    </w:p>
    <w:p w14:paraId="1AB43A7F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i/>
          <w:iCs/>
          <w:kern w:val="0"/>
          <w:sz w:val="19"/>
          <w:szCs w:val="19"/>
        </w:rPr>
        <w:t>Data maxima venia</w:t>
      </w:r>
      <w:r w:rsidRPr="00A9482C">
        <w:rPr>
          <w:rFonts w:ascii="Cambria" w:hAnsi="Cambria" w:cs="Times"/>
          <w:kern w:val="0"/>
          <w:sz w:val="19"/>
          <w:szCs w:val="19"/>
        </w:rPr>
        <w:t>,</w:t>
      </w:r>
      <w:r w:rsidRPr="00A9482C">
        <w:rPr>
          <w:rFonts w:ascii="Cambria" w:hAnsi="Cambria" w:cs="Times"/>
          <w:i/>
          <w:iCs/>
          <w:kern w:val="0"/>
          <w:sz w:val="19"/>
          <w:szCs w:val="19"/>
        </w:rPr>
        <w:t xml:space="preserve"> </w:t>
      </w:r>
      <w:r w:rsidRPr="00A9482C">
        <w:rPr>
          <w:rFonts w:ascii="Cambria" w:hAnsi="Cambria" w:cs="Times"/>
          <w:kern w:val="0"/>
          <w:sz w:val="19"/>
          <w:szCs w:val="19"/>
        </w:rPr>
        <w:t>equivocou-se o DD. Juízo de 1</w:t>
      </w:r>
      <w:r w:rsidRPr="00A9482C">
        <w:rPr>
          <w:rFonts w:ascii="Cambria" w:hAnsi="Cambria" w:cs="Times"/>
          <w:strike/>
          <w:kern w:val="0"/>
          <w:sz w:val="19"/>
          <w:szCs w:val="19"/>
        </w:rPr>
        <w:t>º</w:t>
      </w:r>
      <w:r w:rsidRPr="00A9482C">
        <w:rPr>
          <w:rFonts w:ascii="Cambria" w:hAnsi="Cambria" w:cs="Times"/>
          <w:kern w:val="0"/>
          <w:sz w:val="19"/>
          <w:szCs w:val="19"/>
        </w:rPr>
        <w:t xml:space="preserve"> grau ao concluir pela intempestividade do recurso ordinário interposto pelo Agravante, impondo-se, por isso mesmo, a reforma de tal decisão, com o conseqüente processamento do apelo.</w:t>
      </w:r>
    </w:p>
    <w:p w14:paraId="0F34D3FC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A Agravante, consoante se verifica do documento de fls. ......, foi notificada para ciência da decisão em ..... de ............... de ......... .</w:t>
      </w:r>
    </w:p>
    <w:p w14:paraId="78B526B6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 xml:space="preserve">Aplicada a Súmula 16 do Colendo Tribunal Superior do Trabalho, a notificação é considerada cumprida quarenta e oito horas após sua regular expedição. E só após tem início o prazo de oito dias para a interposição de recurso, </w:t>
      </w:r>
      <w:r w:rsidRPr="00A9482C">
        <w:rPr>
          <w:rFonts w:ascii="Cambria" w:hAnsi="Cambria" w:cs="Times"/>
          <w:i/>
          <w:iCs/>
          <w:kern w:val="0"/>
          <w:sz w:val="19"/>
          <w:szCs w:val="19"/>
        </w:rPr>
        <w:t>ex vi</w:t>
      </w:r>
      <w:r w:rsidRPr="00A9482C">
        <w:rPr>
          <w:rFonts w:ascii="Cambria" w:hAnsi="Cambria" w:cs="Times"/>
          <w:kern w:val="0"/>
          <w:sz w:val="19"/>
          <w:szCs w:val="19"/>
        </w:rPr>
        <w:t xml:space="preserve"> do disposto no art. 6</w:t>
      </w:r>
      <w:r w:rsidRPr="00A9482C">
        <w:rPr>
          <w:rFonts w:ascii="Cambria" w:hAnsi="Cambria" w:cs="Times"/>
          <w:strike/>
          <w:kern w:val="0"/>
          <w:sz w:val="19"/>
          <w:szCs w:val="19"/>
        </w:rPr>
        <w:t>º</w:t>
      </w:r>
      <w:r w:rsidRPr="00A9482C">
        <w:rPr>
          <w:rFonts w:ascii="Cambria" w:hAnsi="Cambria" w:cs="Times"/>
          <w:kern w:val="0"/>
          <w:sz w:val="19"/>
          <w:szCs w:val="19"/>
        </w:rPr>
        <w:t xml:space="preserve"> da Lei n. 5.584, de 26 de junho de 1970.</w:t>
      </w:r>
    </w:p>
    <w:p w14:paraId="589B0ED9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Contudo, houve por bem o DD. Juízo</w:t>
      </w:r>
      <w:r w:rsidRPr="00A9482C">
        <w:rPr>
          <w:rFonts w:ascii="Cambria" w:hAnsi="Cambria" w:cs="Times"/>
          <w:i/>
          <w:iCs/>
          <w:kern w:val="0"/>
          <w:sz w:val="19"/>
          <w:szCs w:val="19"/>
        </w:rPr>
        <w:t xml:space="preserve"> a quo </w:t>
      </w:r>
      <w:r w:rsidRPr="00A9482C">
        <w:rPr>
          <w:rFonts w:ascii="Cambria" w:hAnsi="Cambria" w:cs="Times"/>
          <w:kern w:val="0"/>
          <w:sz w:val="19"/>
          <w:szCs w:val="19"/>
        </w:rPr>
        <w:t>aplicar critério di</w:t>
      </w:r>
      <w:r w:rsidRPr="00A9482C">
        <w:rPr>
          <w:rFonts w:ascii="Cambria" w:hAnsi="Cambria" w:cs="Times"/>
          <w:kern w:val="0"/>
          <w:sz w:val="19"/>
          <w:szCs w:val="19"/>
        </w:rPr>
        <w:softHyphen/>
        <w:t>verso para a contagem do prazo após a data da expedição da notifi</w:t>
      </w:r>
      <w:r w:rsidRPr="00A9482C">
        <w:rPr>
          <w:rFonts w:ascii="Cambria" w:hAnsi="Cambria" w:cs="Times"/>
          <w:kern w:val="0"/>
          <w:sz w:val="19"/>
          <w:szCs w:val="19"/>
        </w:rPr>
        <w:softHyphen/>
        <w:t>cação e não quarenta e oito horas após esta mesma expedição.</w:t>
      </w:r>
    </w:p>
    <w:p w14:paraId="4F95890D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Assim, manifesto o equívoco, impondo-se a reforma da decisão em apreço, razão por que espera o Agravante seja provido o presente agravo, determinando-se o processamento regular do recurso ordinário, como de direito.</w:t>
      </w:r>
    </w:p>
    <w:p w14:paraId="36B798FB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P. Deferimento.</w:t>
      </w:r>
    </w:p>
    <w:p w14:paraId="3C74A62E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Localidade e data</w:t>
      </w:r>
    </w:p>
    <w:p w14:paraId="62181A1C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Assinatura</w:t>
      </w:r>
    </w:p>
    <w:p w14:paraId="51AE977C" w14:textId="77777777" w:rsidR="00A9482C" w:rsidRPr="00A9482C" w:rsidRDefault="00A9482C">
      <w:pPr>
        <w:widowControl w:val="0"/>
        <w:autoSpaceDE w:val="0"/>
        <w:autoSpaceDN w:val="0"/>
        <w:adjustRightInd w:val="0"/>
        <w:spacing w:after="113" w:line="23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A9482C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31F65ECB" w14:textId="77777777" w:rsidR="00A9482C" w:rsidRPr="00A9482C" w:rsidRDefault="00A9482C">
      <w:pPr>
        <w:widowControl w:val="0"/>
        <w:autoSpaceDE w:val="0"/>
        <w:autoSpaceDN w:val="0"/>
        <w:adjustRightInd w:val="0"/>
        <w:spacing w:after="170" w:line="266" w:lineRule="atLeast"/>
        <w:jc w:val="both"/>
        <w:rPr>
          <w:rFonts w:ascii="Cambria" w:hAnsi="Cambria" w:cs="Times"/>
          <w:kern w:val="0"/>
          <w:sz w:val="23"/>
          <w:szCs w:val="23"/>
        </w:rPr>
      </w:pPr>
    </w:p>
    <w:sectPr w:rsidR="00000000" w:rsidRPr="00A948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609A7" w14:textId="77777777" w:rsidR="00A9482C" w:rsidRDefault="00A9482C" w:rsidP="00A9482C">
      <w:pPr>
        <w:spacing w:after="0" w:line="240" w:lineRule="auto"/>
      </w:pPr>
      <w:r>
        <w:separator/>
      </w:r>
    </w:p>
  </w:endnote>
  <w:endnote w:type="continuationSeparator" w:id="0">
    <w:p w14:paraId="6B39AAD8" w14:textId="77777777" w:rsidR="00A9482C" w:rsidRDefault="00A9482C" w:rsidP="00A94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9EA55" w14:textId="77777777" w:rsidR="00A9482C" w:rsidRDefault="00A948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AA4CB" w14:textId="32E9C73C" w:rsidR="00A9482C" w:rsidRPr="00A9482C" w:rsidRDefault="00A9482C" w:rsidP="00A9482C">
    <w:pPr>
      <w:pStyle w:val="Rodap"/>
      <w:jc w:val="center"/>
      <w:rPr>
        <w:color w:val="C0C0C0"/>
      </w:rPr>
    </w:pPr>
    <w:r w:rsidRPr="00A9482C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B5DBF" w14:textId="77777777" w:rsidR="00A9482C" w:rsidRDefault="00A948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C0929" w14:textId="77777777" w:rsidR="00A9482C" w:rsidRDefault="00A9482C" w:rsidP="00A9482C">
      <w:pPr>
        <w:spacing w:after="0" w:line="240" w:lineRule="auto"/>
      </w:pPr>
      <w:r>
        <w:separator/>
      </w:r>
    </w:p>
  </w:footnote>
  <w:footnote w:type="continuationSeparator" w:id="0">
    <w:p w14:paraId="7C771954" w14:textId="77777777" w:rsidR="00A9482C" w:rsidRDefault="00A9482C" w:rsidP="00A94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0C73B" w14:textId="77777777" w:rsidR="00A9482C" w:rsidRDefault="00A948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65154" w14:textId="4F881711" w:rsidR="00A9482C" w:rsidRPr="00A9482C" w:rsidRDefault="00A9482C" w:rsidP="00A9482C">
    <w:pPr>
      <w:pStyle w:val="Cabealho"/>
      <w:jc w:val="center"/>
      <w:rPr>
        <w:color w:val="C0C0C0"/>
      </w:rPr>
    </w:pPr>
    <w:r w:rsidRPr="00A9482C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4A9F6" w14:textId="77777777" w:rsidR="00A9482C" w:rsidRDefault="00A948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9482C"/>
    <w:rsid w:val="00A9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B8E9A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948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482C"/>
  </w:style>
  <w:style w:type="paragraph" w:styleId="Rodap">
    <w:name w:val="footer"/>
    <w:basedOn w:val="Normal"/>
    <w:link w:val="RodapChar"/>
    <w:uiPriority w:val="99"/>
    <w:unhideWhenUsed/>
    <w:rsid w:val="00A9482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4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2023-11-06T20:58:00Z</dcterms:created>
  <dcterms:modified xsi:type="dcterms:W3CDTF">2023-11-06T20:58:00Z</dcterms:modified>
</cp:coreProperties>
</file>