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1A2D1" w14:textId="77777777" w:rsidR="003F3F25" w:rsidRPr="003F3F25" w:rsidRDefault="003F3F25">
      <w:pPr>
        <w:widowControl w:val="0"/>
        <w:autoSpaceDE w:val="0"/>
        <w:autoSpaceDN w:val="0"/>
        <w:adjustRightInd w:val="0"/>
        <w:spacing w:before="113" w:after="142" w:line="256" w:lineRule="atLeast"/>
        <w:jc w:val="both"/>
        <w:rPr>
          <w:rFonts w:ascii="Cambria" w:hAnsi="Cambria" w:cs="Times"/>
          <w:caps/>
          <w:kern w:val="0"/>
          <w:sz w:val="23"/>
          <w:szCs w:val="23"/>
        </w:rPr>
      </w:pPr>
      <w:r w:rsidRPr="003F3F25">
        <w:rPr>
          <w:rFonts w:ascii="Cambria" w:hAnsi="Cambria" w:cs="Times"/>
          <w:caps/>
          <w:color w:val="000000"/>
          <w:kern w:val="0"/>
          <w:sz w:val="23"/>
          <w:szCs w:val="23"/>
        </w:rPr>
        <w:t>22. Contra-razões dos embargos</w:t>
      </w:r>
    </w:p>
    <w:p w14:paraId="396FF402" w14:textId="77777777" w:rsidR="003F3F25" w:rsidRPr="003F3F25" w:rsidRDefault="003F3F25">
      <w:pPr>
        <w:widowControl w:val="0"/>
        <w:autoSpaceDE w:val="0"/>
        <w:autoSpaceDN w:val="0"/>
        <w:adjustRightInd w:val="0"/>
        <w:spacing w:before="227" w:after="113" w:line="204" w:lineRule="atLeast"/>
        <w:ind w:left="397"/>
        <w:jc w:val="both"/>
        <w:rPr>
          <w:rFonts w:ascii="Cambria" w:hAnsi="Cambria" w:cs="Times"/>
          <w:caps/>
          <w:color w:val="000000"/>
          <w:kern w:val="0"/>
          <w:sz w:val="19"/>
          <w:szCs w:val="19"/>
        </w:rPr>
      </w:pPr>
    </w:p>
    <w:p w14:paraId="16F0C087" w14:textId="77777777" w:rsidR="003F3F25" w:rsidRPr="003F3F25" w:rsidRDefault="003F3F25">
      <w:pPr>
        <w:widowControl w:val="0"/>
        <w:autoSpaceDE w:val="0"/>
        <w:autoSpaceDN w:val="0"/>
        <w:adjustRightInd w:val="0"/>
        <w:spacing w:before="227" w:after="113" w:line="204" w:lineRule="atLeast"/>
        <w:ind w:left="397"/>
        <w:jc w:val="both"/>
        <w:rPr>
          <w:rFonts w:ascii="Cambria" w:hAnsi="Cambria" w:cs="Times"/>
          <w:caps/>
          <w:kern w:val="0"/>
          <w:sz w:val="19"/>
          <w:szCs w:val="19"/>
        </w:rPr>
      </w:pPr>
      <w:r w:rsidRPr="003F3F25">
        <w:rPr>
          <w:rFonts w:ascii="Cambria" w:hAnsi="Cambria" w:cs="Times"/>
          <w:caps/>
          <w:color w:val="000000"/>
          <w:kern w:val="0"/>
          <w:sz w:val="19"/>
          <w:szCs w:val="19"/>
        </w:rPr>
        <w:t>Exmo. Sr. Dr. Ministro Presidente da 1</w:t>
      </w:r>
      <w:r w:rsidRPr="003F3F25">
        <w:rPr>
          <w:rFonts w:ascii="Cambria" w:hAnsi="Cambria" w:cs="Times"/>
          <w:strike/>
          <w:kern w:val="0"/>
          <w:sz w:val="19"/>
          <w:szCs w:val="19"/>
        </w:rPr>
        <w:t>ª</w:t>
      </w:r>
      <w:r w:rsidRPr="003F3F25">
        <w:rPr>
          <w:rFonts w:ascii="Cambria" w:hAnsi="Cambria" w:cs="Times"/>
          <w:caps/>
          <w:kern w:val="0"/>
          <w:sz w:val="19"/>
          <w:szCs w:val="19"/>
        </w:rPr>
        <w:t xml:space="preserve"> Turma do Tribunal Superior do Trabalho.</w:t>
      </w:r>
    </w:p>
    <w:p w14:paraId="2D16BFAE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04" w:lineRule="atLeast"/>
        <w:ind w:left="397"/>
        <w:jc w:val="both"/>
        <w:rPr>
          <w:rFonts w:ascii="Cambria" w:hAnsi="Cambria" w:cs="Times"/>
          <w:caps/>
          <w:kern w:val="0"/>
          <w:sz w:val="19"/>
          <w:szCs w:val="19"/>
        </w:rPr>
      </w:pPr>
    </w:p>
    <w:p w14:paraId="5CC4385F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Roberto Silva, nos autos do Processo n. 1.356/96, vem, mui respeitosamente, por seu advogado, infra-assinado, mandato nos autos, apresentar, tempestivamente, suas contra-razões nos embargos de divergência interpostos por Invicta Ltda., como de direito.</w:t>
      </w:r>
    </w:p>
    <w:p w14:paraId="6EB37D42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P. Deferimento.</w:t>
      </w:r>
    </w:p>
    <w:p w14:paraId="76D94AA1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Localidade e data</w:t>
      </w:r>
    </w:p>
    <w:p w14:paraId="0910F3DC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Assinatura</w:t>
      </w:r>
    </w:p>
    <w:p w14:paraId="6A67EBA7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p w14:paraId="2FC8505E" w14:textId="77777777" w:rsidR="003F3F25" w:rsidRPr="003F3F25" w:rsidRDefault="003F3F25">
      <w:pPr>
        <w:widowControl w:val="0"/>
        <w:autoSpaceDE w:val="0"/>
        <w:autoSpaceDN w:val="0"/>
        <w:adjustRightInd w:val="0"/>
        <w:spacing w:after="0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32BFF2CD" w14:textId="77777777" w:rsidR="003F3F25" w:rsidRPr="003F3F25" w:rsidRDefault="003F3F25">
      <w:pPr>
        <w:widowControl w:val="0"/>
        <w:autoSpaceDE w:val="0"/>
        <w:autoSpaceDN w:val="0"/>
        <w:adjustRightInd w:val="0"/>
        <w:spacing w:after="170" w:line="232" w:lineRule="atLeast"/>
        <w:ind w:firstLine="454"/>
        <w:jc w:val="both"/>
        <w:rPr>
          <w:rFonts w:ascii="Cambria" w:hAnsi="Cambria" w:cs="Times"/>
          <w:kern w:val="0"/>
          <w:sz w:val="23"/>
          <w:szCs w:val="23"/>
        </w:rPr>
      </w:pPr>
      <w:r w:rsidRPr="003F3F25">
        <w:rPr>
          <w:rFonts w:ascii="Cambria" w:hAnsi="Cambria" w:cs="Times"/>
          <w:i/>
          <w:iCs/>
          <w:kern w:val="0"/>
          <w:sz w:val="23"/>
          <w:szCs w:val="23"/>
        </w:rPr>
        <w:t>b</w:t>
      </w:r>
      <w:r w:rsidRPr="003F3F25">
        <w:rPr>
          <w:rFonts w:ascii="Cambria" w:hAnsi="Cambria" w:cs="Times"/>
          <w:kern w:val="0"/>
          <w:sz w:val="23"/>
          <w:szCs w:val="23"/>
        </w:rPr>
        <w:t>) Contra-razões que acompanham a petição acima transcrita:</w:t>
      </w:r>
    </w:p>
    <w:p w14:paraId="08D27559" w14:textId="77777777" w:rsidR="003F3F25" w:rsidRPr="003F3F25" w:rsidRDefault="003F3F25">
      <w:pPr>
        <w:widowControl w:val="0"/>
        <w:autoSpaceDE w:val="0"/>
        <w:autoSpaceDN w:val="0"/>
        <w:adjustRightInd w:val="0"/>
        <w:spacing w:before="170" w:after="113" w:line="232" w:lineRule="atLeast"/>
        <w:ind w:firstLine="454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COLENDA SEÇÃO ESPECIALIZADA EM DISSÍDIOS INDIVIDUAIS.</w:t>
      </w:r>
    </w:p>
    <w:p w14:paraId="0CEC86C4" w14:textId="77777777" w:rsidR="003F3F25" w:rsidRPr="003F3F25" w:rsidRDefault="003F3F25">
      <w:pPr>
        <w:widowControl w:val="0"/>
        <w:autoSpaceDE w:val="0"/>
        <w:autoSpaceDN w:val="0"/>
        <w:adjustRightInd w:val="0"/>
        <w:spacing w:after="0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</w:p>
    <w:p w14:paraId="68FABFDA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 xml:space="preserve">Os embargos interpostos devem, </w:t>
      </w:r>
      <w:r w:rsidRPr="003F3F25">
        <w:rPr>
          <w:rFonts w:ascii="Cambria" w:hAnsi="Cambria" w:cs="Times"/>
          <w:i/>
          <w:iCs/>
          <w:kern w:val="0"/>
          <w:sz w:val="19"/>
          <w:szCs w:val="19"/>
        </w:rPr>
        <w:t>data venia</w:t>
      </w:r>
      <w:r w:rsidRPr="003F3F25">
        <w:rPr>
          <w:rFonts w:ascii="Cambria" w:hAnsi="Cambria" w:cs="Times"/>
          <w:kern w:val="0"/>
          <w:sz w:val="19"/>
          <w:szCs w:val="19"/>
        </w:rPr>
        <w:t>, ser liminarmente rejeitados por esta SDI, já que, a rigor, inexiste qualquer divergência entre o julgado embargado e o Precedente 23 desta mesma Seção.</w:t>
      </w:r>
    </w:p>
    <w:p w14:paraId="769F064D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Com efeito, o precedente nominado fixa limite de cinco minutos antes e/ou depois da jornada de trabalho, deixando claro, porém, que, após esse limite de tolerância, será considerada extraordinária a totalidade do tempo que exceder a jornada normal.</w:t>
      </w:r>
    </w:p>
    <w:p w14:paraId="4DC1BEB1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Ora, no caso em tela, entre ficar demonstrado que o embargado excedia o limite mencionado, a Colenda Turma observou rigorosamente o entendimento cristalizado no precedente em questão, inexistindo, assim, pressuposto de admissibilidade dos embargos, que devem, por isso mesmo, ser liminarmente rejeitados.</w:t>
      </w:r>
    </w:p>
    <w:p w14:paraId="1CBD7CEC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P. Deferimento.</w:t>
      </w:r>
    </w:p>
    <w:p w14:paraId="2C6E1D70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Localidade e data</w:t>
      </w:r>
    </w:p>
    <w:p w14:paraId="176C11E7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Assinatura</w:t>
      </w:r>
    </w:p>
    <w:p w14:paraId="27F797F2" w14:textId="77777777" w:rsidR="003F3F25" w:rsidRPr="003F3F25" w:rsidRDefault="003F3F25">
      <w:pPr>
        <w:widowControl w:val="0"/>
        <w:autoSpaceDE w:val="0"/>
        <w:autoSpaceDN w:val="0"/>
        <w:adjustRightInd w:val="0"/>
        <w:spacing w:after="113" w:line="232" w:lineRule="atLeast"/>
        <w:ind w:left="397" w:firstLine="340"/>
        <w:jc w:val="both"/>
        <w:rPr>
          <w:rFonts w:ascii="Cambria" w:hAnsi="Cambria" w:cs="Times"/>
          <w:kern w:val="0"/>
          <w:sz w:val="19"/>
          <w:szCs w:val="19"/>
        </w:rPr>
      </w:pPr>
      <w:r w:rsidRPr="003F3F25">
        <w:rPr>
          <w:rFonts w:ascii="Cambria" w:hAnsi="Cambria" w:cs="Times"/>
          <w:kern w:val="0"/>
          <w:sz w:val="19"/>
          <w:szCs w:val="19"/>
        </w:rPr>
        <w:t>Nome do Advogado e sua inscrição na OAB</w:t>
      </w:r>
    </w:p>
    <w:sectPr w:rsidR="00000000" w:rsidRPr="003F3F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70B5F0" w14:textId="77777777" w:rsidR="003F3F25" w:rsidRDefault="003F3F25" w:rsidP="003F3F25">
      <w:pPr>
        <w:spacing w:after="0" w:line="240" w:lineRule="auto"/>
      </w:pPr>
      <w:r>
        <w:separator/>
      </w:r>
    </w:p>
  </w:endnote>
  <w:endnote w:type="continuationSeparator" w:id="0">
    <w:p w14:paraId="791000CB" w14:textId="77777777" w:rsidR="003F3F25" w:rsidRDefault="003F3F25" w:rsidP="003F3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 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9065A" w14:textId="77777777" w:rsidR="003F3F25" w:rsidRDefault="003F3F2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A623F" w14:textId="6E0459D9" w:rsidR="003F3F25" w:rsidRPr="003F3F25" w:rsidRDefault="003F3F25" w:rsidP="003F3F25">
    <w:pPr>
      <w:pStyle w:val="Rodap"/>
      <w:jc w:val="center"/>
      <w:rPr>
        <w:color w:val="C0C0C0"/>
      </w:rPr>
    </w:pPr>
    <w:r w:rsidRPr="003F3F25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58EA9" w14:textId="77777777" w:rsidR="003F3F25" w:rsidRDefault="003F3F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1621C" w14:textId="77777777" w:rsidR="003F3F25" w:rsidRDefault="003F3F25" w:rsidP="003F3F25">
      <w:pPr>
        <w:spacing w:after="0" w:line="240" w:lineRule="auto"/>
      </w:pPr>
      <w:r>
        <w:separator/>
      </w:r>
    </w:p>
  </w:footnote>
  <w:footnote w:type="continuationSeparator" w:id="0">
    <w:p w14:paraId="3417437F" w14:textId="77777777" w:rsidR="003F3F25" w:rsidRDefault="003F3F25" w:rsidP="003F3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EDAC4" w14:textId="77777777" w:rsidR="003F3F25" w:rsidRDefault="003F3F2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71983" w14:textId="6FCEDD15" w:rsidR="003F3F25" w:rsidRPr="003F3F25" w:rsidRDefault="003F3F25" w:rsidP="003F3F25">
    <w:pPr>
      <w:pStyle w:val="Cabealho"/>
      <w:jc w:val="center"/>
      <w:rPr>
        <w:color w:val="C0C0C0"/>
      </w:rPr>
    </w:pPr>
    <w:r w:rsidRPr="003F3F25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F7DFF" w14:textId="77777777" w:rsidR="003F3F25" w:rsidRDefault="003F3F2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F3F25"/>
    <w:rsid w:val="003F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D67E5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F3F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3F25"/>
  </w:style>
  <w:style w:type="paragraph" w:styleId="Rodap">
    <w:name w:val="footer"/>
    <w:basedOn w:val="Normal"/>
    <w:link w:val="RodapChar"/>
    <w:uiPriority w:val="99"/>
    <w:unhideWhenUsed/>
    <w:rsid w:val="003F3F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3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1183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