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CF3E99B" w14:textId="77777777" w:rsidR="004E660D" w:rsidRPr="007617CA" w:rsidRDefault="004E660D" w:rsidP="004E660D">
      <w:pPr>
        <w:jc w:val="both"/>
        <w:rPr>
          <w:rFonts w:ascii="Cambria" w:hAnsi="Cambria" w:cs="Times New Roman"/>
          <w:sz w:val="24"/>
        </w:rPr>
      </w:pPr>
      <w:r w:rsidRPr="007617CA">
        <w:rPr>
          <w:rFonts w:ascii="Cambria" w:hAnsi="Cambria" w:cs="Times New Roman"/>
          <w:sz w:val="24"/>
        </w:rPr>
        <w:t>EXCELENTISSÍMO SENHOR JUIZ DE DIREITO DA _________ VARA DO TRABALHO DA (COMARCA/SIGLA ESTADO)</w:t>
      </w:r>
    </w:p>
    <w:p w14:paraId="4455CCC7" w14:textId="77777777" w:rsidR="004E660D" w:rsidRPr="007617CA" w:rsidRDefault="004E660D" w:rsidP="004E660D">
      <w:pPr>
        <w:jc w:val="both"/>
        <w:rPr>
          <w:rFonts w:ascii="Cambria" w:hAnsi="Cambria" w:cs="Times New Roman"/>
          <w:sz w:val="24"/>
        </w:rPr>
      </w:pPr>
    </w:p>
    <w:p w14:paraId="2A9DD698" w14:textId="77777777" w:rsidR="004E660D" w:rsidRPr="007617CA" w:rsidRDefault="004E660D" w:rsidP="004E660D">
      <w:pPr>
        <w:jc w:val="both"/>
        <w:rPr>
          <w:rFonts w:ascii="Cambria" w:hAnsi="Cambria" w:cs="Times New Roman"/>
          <w:sz w:val="24"/>
        </w:rPr>
      </w:pPr>
    </w:p>
    <w:p w14:paraId="043E5911" w14:textId="77777777" w:rsidR="004E660D" w:rsidRPr="007617CA" w:rsidRDefault="004E660D" w:rsidP="004E660D">
      <w:pPr>
        <w:jc w:val="both"/>
        <w:rPr>
          <w:rFonts w:ascii="Cambria" w:hAnsi="Cambria" w:cs="Times New Roman"/>
          <w:sz w:val="24"/>
        </w:rPr>
      </w:pPr>
    </w:p>
    <w:p w14:paraId="66EB9E77" w14:textId="77777777" w:rsidR="004E660D" w:rsidRPr="007617CA" w:rsidRDefault="004E660D" w:rsidP="004E660D">
      <w:pPr>
        <w:jc w:val="both"/>
        <w:rPr>
          <w:rFonts w:ascii="Cambria" w:hAnsi="Cambria" w:cs="Times New Roman"/>
          <w:sz w:val="24"/>
        </w:rPr>
      </w:pPr>
    </w:p>
    <w:p w14:paraId="782B2B65" w14:textId="77777777" w:rsidR="004E660D" w:rsidRPr="007617CA" w:rsidRDefault="004E660D" w:rsidP="004E660D">
      <w:pPr>
        <w:jc w:val="both"/>
        <w:rPr>
          <w:rFonts w:ascii="Cambria" w:hAnsi="Cambria" w:cs="Times New Roman"/>
          <w:sz w:val="24"/>
        </w:rPr>
      </w:pPr>
    </w:p>
    <w:p w14:paraId="2B2CBEAC" w14:textId="77777777" w:rsidR="004E660D" w:rsidRPr="007617CA" w:rsidRDefault="004E660D" w:rsidP="004E660D">
      <w:pPr>
        <w:jc w:val="both"/>
        <w:rPr>
          <w:rFonts w:ascii="Cambria" w:hAnsi="Cambria" w:cs="Times New Roman"/>
          <w:sz w:val="24"/>
        </w:rPr>
      </w:pPr>
    </w:p>
    <w:p w14:paraId="6E9BA56C" w14:textId="77777777" w:rsidR="004E660D" w:rsidRPr="007617CA" w:rsidRDefault="004E660D" w:rsidP="004E660D">
      <w:pPr>
        <w:jc w:val="both"/>
        <w:rPr>
          <w:rFonts w:ascii="Cambria" w:hAnsi="Cambria" w:cs="Times New Roman"/>
          <w:sz w:val="24"/>
        </w:rPr>
      </w:pPr>
      <w:r w:rsidRPr="007617CA">
        <w:rPr>
          <w:rFonts w:ascii="Cambria" w:hAnsi="Cambria" w:cs="Times New Roman"/>
          <w:sz w:val="24"/>
        </w:rPr>
        <w:t>(REQUERENTE)....., sociedade civil com personalidade jurídica de direito privado, com sede na Rua .... nº ...., na Comarca, por um de seus advogados, estes com escritório na Rua .... nº ...., para onde devem ser endereçadas as notificações e intimações, vem interpor</w:t>
      </w:r>
    </w:p>
    <w:p w14:paraId="64261160" w14:textId="77777777" w:rsidR="004E660D" w:rsidRPr="007617CA" w:rsidRDefault="004E660D" w:rsidP="004E660D">
      <w:pPr>
        <w:jc w:val="both"/>
        <w:rPr>
          <w:rFonts w:ascii="Cambria" w:hAnsi="Cambria" w:cs="Times New Roman"/>
          <w:sz w:val="24"/>
        </w:rPr>
      </w:pPr>
    </w:p>
    <w:p w14:paraId="23757481" w14:textId="77777777" w:rsidR="004E660D" w:rsidRPr="007617CA" w:rsidRDefault="004E660D" w:rsidP="004E660D">
      <w:pPr>
        <w:jc w:val="both"/>
        <w:rPr>
          <w:rFonts w:ascii="Cambria" w:hAnsi="Cambria" w:cs="Times New Roman"/>
          <w:sz w:val="24"/>
        </w:rPr>
      </w:pPr>
    </w:p>
    <w:p w14:paraId="6C035087" w14:textId="77777777" w:rsidR="004E660D" w:rsidRPr="007617CA" w:rsidRDefault="004E660D" w:rsidP="004E660D">
      <w:pPr>
        <w:jc w:val="center"/>
        <w:rPr>
          <w:rFonts w:ascii="Cambria" w:hAnsi="Cambria" w:cs="Times New Roman"/>
          <w:sz w:val="24"/>
        </w:rPr>
      </w:pPr>
      <w:r w:rsidRPr="007617CA">
        <w:rPr>
          <w:rFonts w:ascii="Cambria" w:hAnsi="Cambria" w:cs="Times New Roman"/>
          <w:sz w:val="24"/>
        </w:rPr>
        <w:t>RECLAMAÇÃO TRABALHISTA</w:t>
      </w:r>
    </w:p>
    <w:p w14:paraId="563538D0" w14:textId="77777777" w:rsidR="004E660D" w:rsidRPr="007617CA" w:rsidRDefault="004E660D" w:rsidP="004E660D">
      <w:pPr>
        <w:jc w:val="both"/>
        <w:rPr>
          <w:rFonts w:ascii="Cambria" w:hAnsi="Cambria" w:cs="Times New Roman"/>
          <w:sz w:val="24"/>
        </w:rPr>
      </w:pPr>
    </w:p>
    <w:p w14:paraId="52D16172" w14:textId="77777777" w:rsidR="004E660D" w:rsidRPr="007617CA" w:rsidRDefault="004E660D" w:rsidP="004E660D">
      <w:pPr>
        <w:ind w:firstLine="708"/>
        <w:jc w:val="both"/>
        <w:rPr>
          <w:rFonts w:ascii="Cambria" w:hAnsi="Cambria" w:cs="Times New Roman"/>
          <w:sz w:val="24"/>
        </w:rPr>
      </w:pPr>
      <w:r w:rsidRPr="007617CA">
        <w:rPr>
          <w:rFonts w:ascii="Cambria" w:hAnsi="Cambria" w:cs="Times New Roman"/>
          <w:sz w:val="24"/>
        </w:rPr>
        <w:t>Em face de (RECLAMADO)....., pessoa jurídica de direito privado, inscrita no CNPJ sob o n.º ....., com sede na Rua ....., n.º ....., Bairro ......, Cidade ....., Estado ....., CEP ....., representada neste ato por seu (sua) sócio(a) gerente Sr. (a). ....., brasileiro (a), (estado civil), profissional da área de ....., portador (a) do CIRG nº ..... e do CPF n.º ....., pelos motivos de fato e de direito a seguir aduzidos.</w:t>
      </w:r>
    </w:p>
    <w:p w14:paraId="4594431B" w14:textId="77777777" w:rsidR="005A292A" w:rsidRPr="007617CA" w:rsidRDefault="005A292A" w:rsidP="005A292A">
      <w:pPr>
        <w:jc w:val="both"/>
        <w:rPr>
          <w:rFonts w:ascii="Cambria" w:hAnsi="Cambria" w:cs="Times New Roman"/>
          <w:sz w:val="24"/>
        </w:rPr>
      </w:pPr>
    </w:p>
    <w:p w14:paraId="63DF43D7" w14:textId="77777777" w:rsidR="005A292A" w:rsidRPr="007617CA" w:rsidRDefault="005A292A" w:rsidP="005A292A">
      <w:pPr>
        <w:jc w:val="both"/>
        <w:rPr>
          <w:rFonts w:ascii="Cambria" w:hAnsi="Cambria" w:cs="Times New Roman"/>
          <w:sz w:val="24"/>
        </w:rPr>
      </w:pPr>
    </w:p>
    <w:p w14:paraId="073A719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PRELIMINARMENTE</w:t>
      </w:r>
    </w:p>
    <w:p w14:paraId="68236EB6" w14:textId="77777777" w:rsidR="005A292A" w:rsidRPr="007617CA" w:rsidRDefault="005A292A" w:rsidP="005A292A">
      <w:pPr>
        <w:jc w:val="both"/>
        <w:rPr>
          <w:rFonts w:ascii="Cambria" w:hAnsi="Cambria" w:cs="Times New Roman"/>
          <w:sz w:val="24"/>
        </w:rPr>
      </w:pPr>
    </w:p>
    <w:p w14:paraId="325B2E4F"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1. DA COMISSÃO DE CONCILIAÇÃO PRÉVIA</w:t>
      </w:r>
    </w:p>
    <w:p w14:paraId="6F0C5FA4" w14:textId="77777777" w:rsidR="005A292A" w:rsidRPr="007617CA" w:rsidRDefault="005A292A" w:rsidP="005A292A">
      <w:pPr>
        <w:jc w:val="both"/>
        <w:rPr>
          <w:rFonts w:ascii="Cambria" w:hAnsi="Cambria" w:cs="Times New Roman"/>
          <w:sz w:val="24"/>
        </w:rPr>
      </w:pPr>
    </w:p>
    <w:p w14:paraId="48BE19B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presente demanda foi submetida à Comissão de Conciliação Prévia, de que trata a Lei nº 9958/00 ( certidão negativa de conciliação anexa - doc .....).</w:t>
      </w:r>
    </w:p>
    <w:p w14:paraId="3FECE36F" w14:textId="77777777" w:rsidR="005A292A" w:rsidRPr="007617CA" w:rsidRDefault="005A292A" w:rsidP="005A292A">
      <w:pPr>
        <w:jc w:val="both"/>
        <w:rPr>
          <w:rFonts w:ascii="Cambria" w:hAnsi="Cambria" w:cs="Times New Roman"/>
          <w:sz w:val="24"/>
        </w:rPr>
      </w:pPr>
    </w:p>
    <w:p w14:paraId="7DDDF96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2. DA SUBSTITUIÇÃO PROCESSUAL - LEI Nº 8.073/90.</w:t>
      </w:r>
    </w:p>
    <w:p w14:paraId="47B4F932" w14:textId="77777777" w:rsidR="005A292A" w:rsidRPr="007617CA" w:rsidRDefault="005A292A" w:rsidP="005A292A">
      <w:pPr>
        <w:jc w:val="both"/>
        <w:rPr>
          <w:rFonts w:ascii="Cambria" w:hAnsi="Cambria" w:cs="Times New Roman"/>
          <w:sz w:val="24"/>
        </w:rPr>
      </w:pPr>
    </w:p>
    <w:p w14:paraId="04C8CFDB"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Sindicato autor promove a presente ação como substituto processual dos integrantes da categoria, empregados da ré, inclusive em benefício daqueles que não  são associados.</w:t>
      </w:r>
    </w:p>
    <w:p w14:paraId="26DAAC1F" w14:textId="77777777" w:rsidR="005A292A" w:rsidRPr="007617CA" w:rsidRDefault="005A292A" w:rsidP="005A292A">
      <w:pPr>
        <w:jc w:val="both"/>
        <w:rPr>
          <w:rFonts w:ascii="Cambria" w:hAnsi="Cambria" w:cs="Times New Roman"/>
          <w:sz w:val="24"/>
        </w:rPr>
      </w:pPr>
    </w:p>
    <w:p w14:paraId="2E09F78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lastRenderedPageBreak/>
        <w:t>Instruiu a presente, com a relação dos empregados aqui substituídos processualmente, embora considere tal documento prescindível, eis que a substituição alcança a todos os empregados da ré, indistintamente.</w:t>
      </w:r>
    </w:p>
    <w:p w14:paraId="4F68EC53" w14:textId="77777777" w:rsidR="005A292A" w:rsidRPr="007617CA" w:rsidRDefault="005A292A" w:rsidP="005A292A">
      <w:pPr>
        <w:jc w:val="both"/>
        <w:rPr>
          <w:rFonts w:ascii="Cambria" w:hAnsi="Cambria" w:cs="Times New Roman"/>
          <w:sz w:val="24"/>
        </w:rPr>
      </w:pPr>
    </w:p>
    <w:p w14:paraId="073F0B8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Com a edição da Lei Magna de 1988, grande parte da jurisprudência já se inclinava pela legitimidade ativa "ad causam" dos sindicatos, como substitutos processuais da categoria:</w:t>
      </w:r>
    </w:p>
    <w:p w14:paraId="18AA6961" w14:textId="77777777" w:rsidR="005A292A" w:rsidRPr="007617CA" w:rsidRDefault="005A292A" w:rsidP="005A292A">
      <w:pPr>
        <w:jc w:val="both"/>
        <w:rPr>
          <w:rFonts w:ascii="Cambria" w:hAnsi="Cambria" w:cs="Times New Roman"/>
          <w:sz w:val="24"/>
        </w:rPr>
      </w:pPr>
    </w:p>
    <w:p w14:paraId="5C996336"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"Basta o art. 8º, inciso III, da Constituição Federal, para dar legitimidade ao Sindicato para substituir processualmente todos os integrantes da categoria, associados ou não. Constituição não há um código de hipótese, daí a desnecessidade de especificar quais os institutos processuais aplicáveis ou não. Basta a regra geral." (TRT-PR-RO-2.748/89, Ac. 3ª T. - 6.437/90, Rel. Ricardo Sampaio, in Diário da Justiça do Estado do Paraná, 23/11/90, p.116)</w:t>
      </w:r>
    </w:p>
    <w:p w14:paraId="037FF892" w14:textId="77777777" w:rsidR="005A292A" w:rsidRPr="007617CA" w:rsidRDefault="005A292A" w:rsidP="005A292A">
      <w:pPr>
        <w:jc w:val="both"/>
        <w:rPr>
          <w:rFonts w:ascii="Cambria" w:hAnsi="Cambria" w:cs="Times New Roman"/>
          <w:sz w:val="24"/>
        </w:rPr>
      </w:pPr>
    </w:p>
    <w:p w14:paraId="5F6FA65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Atualmente, essa legitimidade para substituir as partes no processo está ainda mais evidenciada, ante o disposto no art. 3º da Lei nº 8.073 de 30/07/90, que estabelece, "in verbis":</w:t>
      </w:r>
    </w:p>
    <w:p w14:paraId="594E603A" w14:textId="77777777" w:rsidR="005A292A" w:rsidRPr="007617CA" w:rsidRDefault="005A292A" w:rsidP="005A292A">
      <w:pPr>
        <w:jc w:val="both"/>
        <w:rPr>
          <w:rFonts w:ascii="Cambria" w:hAnsi="Cambria" w:cs="Times New Roman"/>
          <w:sz w:val="24"/>
        </w:rPr>
      </w:pPr>
    </w:p>
    <w:p w14:paraId="2ECE897B"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"Art. 3º. As entidades sindicais poderão atuar como substitutos processuais da categoria."</w:t>
      </w:r>
    </w:p>
    <w:p w14:paraId="447D098D" w14:textId="77777777" w:rsidR="005A292A" w:rsidRPr="007617CA" w:rsidRDefault="005A292A" w:rsidP="005A292A">
      <w:pPr>
        <w:jc w:val="both"/>
        <w:rPr>
          <w:rFonts w:ascii="Cambria" w:hAnsi="Cambria" w:cs="Times New Roman"/>
          <w:sz w:val="24"/>
        </w:rPr>
      </w:pPr>
    </w:p>
    <w:p w14:paraId="0BE44636"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Interpretando este novo dispositivo legal, decidiu o Tribunal Regional do Trabalho da 9ª Região:</w:t>
      </w:r>
    </w:p>
    <w:p w14:paraId="4F662CE1" w14:textId="77777777" w:rsidR="005A292A" w:rsidRPr="007617CA" w:rsidRDefault="005A292A" w:rsidP="005A292A">
      <w:pPr>
        <w:jc w:val="both"/>
        <w:rPr>
          <w:rFonts w:ascii="Cambria" w:hAnsi="Cambria" w:cs="Times New Roman"/>
          <w:sz w:val="24"/>
        </w:rPr>
      </w:pPr>
    </w:p>
    <w:p w14:paraId="1DD49479"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"É perfeita a substituição processual do sindicato autor, de forma amplíssima, estendendo-se, inclusive, a empregados não associados. Alteração do art. 513, da CLT, pelo advento da  norma inserta no art. 3º da Lei nº 8.073/90." (TRT-PR-RO - 4.547/89, Ac. 3ª T. - 5.239/90, Rel. Leonaldo Silva, in Diário da Justiça do Estado do Paraná de 28/09/90)</w:t>
      </w:r>
    </w:p>
    <w:p w14:paraId="7F50AC89" w14:textId="77777777" w:rsidR="005A292A" w:rsidRPr="007617CA" w:rsidRDefault="005A292A" w:rsidP="005A292A">
      <w:pPr>
        <w:jc w:val="both"/>
        <w:rPr>
          <w:rFonts w:ascii="Cambria" w:hAnsi="Cambria" w:cs="Times New Roman"/>
          <w:sz w:val="24"/>
        </w:rPr>
      </w:pPr>
    </w:p>
    <w:p w14:paraId="54F8080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norma faz referência expressa à substituição processual da categoria, sem cogitar de associados ou não associados. Dirime uma de vez, a controvérsia quanto à representação e à substituição, subjacentes à exegese do texto constitucional (art. 8º, III). Não deixa dúvida, pois, quanto à legitimidade ativa ad causam do autor.</w:t>
      </w:r>
    </w:p>
    <w:p w14:paraId="4A587238" w14:textId="77777777" w:rsidR="005A292A" w:rsidRPr="007617CA" w:rsidRDefault="005A292A" w:rsidP="005A292A">
      <w:pPr>
        <w:jc w:val="both"/>
        <w:rPr>
          <w:rFonts w:ascii="Cambria" w:hAnsi="Cambria" w:cs="Times New Roman"/>
          <w:sz w:val="24"/>
        </w:rPr>
      </w:pPr>
    </w:p>
    <w:p w14:paraId="3E22B65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DO MÉRITO</w:t>
      </w:r>
    </w:p>
    <w:p w14:paraId="54BA2C4D" w14:textId="77777777" w:rsidR="005A292A" w:rsidRPr="007617CA" w:rsidRDefault="005A292A" w:rsidP="005A292A">
      <w:pPr>
        <w:jc w:val="both"/>
        <w:rPr>
          <w:rFonts w:ascii="Cambria" w:hAnsi="Cambria" w:cs="Times New Roman"/>
          <w:sz w:val="24"/>
        </w:rPr>
      </w:pPr>
    </w:p>
    <w:p w14:paraId="05427A1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lastRenderedPageBreak/>
        <w:t>1. PLANO BRESSER - Gatilho de julho de 1987 e inconstitucionalidade do Decreto Lei nº 2.335/87.</w:t>
      </w:r>
    </w:p>
    <w:p w14:paraId="625372D7" w14:textId="77777777" w:rsidR="005A292A" w:rsidRPr="007617CA" w:rsidRDefault="005A292A" w:rsidP="005A292A">
      <w:pPr>
        <w:jc w:val="both"/>
        <w:rPr>
          <w:rFonts w:ascii="Cambria" w:hAnsi="Cambria" w:cs="Times New Roman"/>
          <w:sz w:val="24"/>
        </w:rPr>
      </w:pPr>
    </w:p>
    <w:p w14:paraId="366986CF"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Até junho de 1987 a escala móvel de salários instituída pelo Decreto-lei nº 2.302/86 determinava reajustes sempre que a inflação acumulada alcançasse 20%.</w:t>
      </w:r>
    </w:p>
    <w:p w14:paraId="096591D6" w14:textId="77777777" w:rsidR="005A292A" w:rsidRPr="007617CA" w:rsidRDefault="005A292A" w:rsidP="005A292A">
      <w:pPr>
        <w:jc w:val="both"/>
        <w:rPr>
          <w:rFonts w:ascii="Cambria" w:hAnsi="Cambria" w:cs="Times New Roman"/>
          <w:sz w:val="24"/>
        </w:rPr>
      </w:pPr>
    </w:p>
    <w:p w14:paraId="1898820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Decreto Lei nº 2.335/87 revogou esta sistemática, cirando a política de correção de preços e salários pela URP - Unidade de Referência de Preços.</w:t>
      </w:r>
    </w:p>
    <w:p w14:paraId="2DC124BB" w14:textId="77777777" w:rsidR="005A292A" w:rsidRPr="007617CA" w:rsidRDefault="005A292A" w:rsidP="005A292A">
      <w:pPr>
        <w:jc w:val="both"/>
        <w:rPr>
          <w:rFonts w:ascii="Cambria" w:hAnsi="Cambria" w:cs="Times New Roman"/>
          <w:sz w:val="24"/>
        </w:rPr>
      </w:pPr>
    </w:p>
    <w:p w14:paraId="65AAD9C5"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Editado em 12/06/87, este novo plano econômico também estabeleceu o Congelamento de Preços, pelo prazo de noventa dias (art. 1º, "caput").</w:t>
      </w:r>
    </w:p>
    <w:p w14:paraId="6671517A" w14:textId="77777777" w:rsidR="005A292A" w:rsidRPr="007617CA" w:rsidRDefault="005A292A" w:rsidP="005A292A">
      <w:pPr>
        <w:jc w:val="both"/>
        <w:rPr>
          <w:rFonts w:ascii="Cambria" w:hAnsi="Cambria" w:cs="Times New Roman"/>
          <w:sz w:val="24"/>
        </w:rPr>
      </w:pPr>
    </w:p>
    <w:p w14:paraId="244F994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Ocorre, porém, que a inflação de junho de 1987 foi da ordem de 26,06%, número divulgado por diversos e respeitados organismos de pesquisa e reconhecimento pela jurisprudência.</w:t>
      </w:r>
    </w:p>
    <w:p w14:paraId="1CB7F81C" w14:textId="77777777" w:rsidR="005A292A" w:rsidRPr="007617CA" w:rsidRDefault="005A292A" w:rsidP="005A292A">
      <w:pPr>
        <w:jc w:val="both"/>
        <w:rPr>
          <w:rFonts w:ascii="Cambria" w:hAnsi="Cambria" w:cs="Times New Roman"/>
          <w:sz w:val="24"/>
        </w:rPr>
      </w:pPr>
    </w:p>
    <w:p w14:paraId="58B6104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Logo, o Plano Bresser macula o direito adquirido dos trabalhadores, ao obstar ou pretender obstar, o reajuste de salários em julho de 1987, resultante do "disparo do gatilho", ocasionado pela inflação registrada no mês anterior.</w:t>
      </w:r>
    </w:p>
    <w:p w14:paraId="5B9C5AC6" w14:textId="77777777" w:rsidR="005A292A" w:rsidRPr="007617CA" w:rsidRDefault="005A292A" w:rsidP="005A292A">
      <w:pPr>
        <w:jc w:val="both"/>
        <w:rPr>
          <w:rFonts w:ascii="Cambria" w:hAnsi="Cambria" w:cs="Times New Roman"/>
          <w:sz w:val="24"/>
        </w:rPr>
      </w:pPr>
    </w:p>
    <w:p w14:paraId="185340FD"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Considera-se adquirido o direito, cujo começo do exercício tenha "termo prefixo" ou "condição preestabelecida inalterável", segundo preceito contido no artigo 6º, parágrafo 2º da Lei de Introdução ao Código Civil. No caso, houve lesão ao direito adquirido:</w:t>
      </w:r>
    </w:p>
    <w:p w14:paraId="4CF0E255" w14:textId="77777777" w:rsidR="005A292A" w:rsidRPr="007617CA" w:rsidRDefault="005A292A" w:rsidP="005A292A">
      <w:pPr>
        <w:jc w:val="both"/>
        <w:rPr>
          <w:rFonts w:ascii="Cambria" w:hAnsi="Cambria" w:cs="Times New Roman"/>
          <w:sz w:val="24"/>
        </w:rPr>
      </w:pPr>
    </w:p>
    <w:p w14:paraId="5027A81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Decreto Lei nº 2.335/87, ao revogar o Decreto-lei nº 2.302/86, em face do princípio consagrado no parágrafo 3º do artigo 153 da então vigente Constituição Federal, não pode ter lesado direito já adquirido. Realizado no mês de junho/87, antes da revogação do Decreto Lei nº 2.302/86, o Fato Gerador do direito do empregado perceber o reajuste automático previsto em seu artigo 1º e parágrafo único (atingindo de 20% de inflação), faz jus a percebê-lo a partir de 01/07/87." (TRT-PR-RO - 2.915/89, Ac. 1ª T. 3.181/90, Rel. Tobias de Macedo Filho, in Diário da Justiça do Paraná de 29/09/90, p. 112 )</w:t>
      </w:r>
    </w:p>
    <w:p w14:paraId="1C68C364" w14:textId="77777777" w:rsidR="005A292A" w:rsidRPr="007617CA" w:rsidRDefault="005A292A" w:rsidP="005A292A">
      <w:pPr>
        <w:jc w:val="both"/>
        <w:rPr>
          <w:rFonts w:ascii="Cambria" w:hAnsi="Cambria" w:cs="Times New Roman"/>
          <w:sz w:val="24"/>
        </w:rPr>
      </w:pPr>
    </w:p>
    <w:p w14:paraId="7A1C93E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Com efeito, têm "jus" os empregados do demandado à percepção do reajuste salarial de ....%, a partir de .... e à integração do percentual inflacionário de ....% - na data-base, em ...., devendo ser condenado o réu ao pagamento das respectivas diferenças, a partir de então.</w:t>
      </w:r>
    </w:p>
    <w:p w14:paraId="356367E0" w14:textId="77777777" w:rsidR="005A292A" w:rsidRPr="007617CA" w:rsidRDefault="005A292A" w:rsidP="005A292A">
      <w:pPr>
        <w:jc w:val="both"/>
        <w:rPr>
          <w:rFonts w:ascii="Cambria" w:hAnsi="Cambria" w:cs="Times New Roman"/>
          <w:sz w:val="24"/>
        </w:rPr>
      </w:pPr>
    </w:p>
    <w:p w14:paraId="4194DD8F"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2. POLÍTICA SALARIAL DA LEI Nº 8.222/91: Cumulatividade do Reajuste Quadrimestral e da Antecipação Bimestral</w:t>
      </w:r>
    </w:p>
    <w:p w14:paraId="070480FB" w14:textId="77777777" w:rsidR="005A292A" w:rsidRPr="007617CA" w:rsidRDefault="005A292A" w:rsidP="005A292A">
      <w:pPr>
        <w:jc w:val="both"/>
        <w:rPr>
          <w:rFonts w:ascii="Cambria" w:hAnsi="Cambria" w:cs="Times New Roman"/>
          <w:sz w:val="24"/>
        </w:rPr>
      </w:pPr>
    </w:p>
    <w:p w14:paraId="52D4E25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Lei nº 8.222/91 regula a política salarial e prevê reajustes:</w:t>
      </w:r>
    </w:p>
    <w:p w14:paraId="4BFC168C" w14:textId="77777777" w:rsidR="005A292A" w:rsidRPr="007617CA" w:rsidRDefault="005A292A" w:rsidP="005A292A">
      <w:pPr>
        <w:jc w:val="both"/>
        <w:rPr>
          <w:rFonts w:ascii="Cambria" w:hAnsi="Cambria" w:cs="Times New Roman"/>
          <w:sz w:val="24"/>
        </w:rPr>
      </w:pPr>
    </w:p>
    <w:p w14:paraId="20F9C4C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a cada quatro meses, pelo INPC do quadrimestre anterior (art. 4º);</w:t>
      </w:r>
    </w:p>
    <w:p w14:paraId="28FE46C1" w14:textId="77777777" w:rsidR="005A292A" w:rsidRPr="007617CA" w:rsidRDefault="005A292A" w:rsidP="005A292A">
      <w:pPr>
        <w:jc w:val="both"/>
        <w:rPr>
          <w:rFonts w:ascii="Cambria" w:hAnsi="Cambria" w:cs="Times New Roman"/>
          <w:sz w:val="24"/>
        </w:rPr>
      </w:pPr>
    </w:p>
    <w:p w14:paraId="3DED32C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b) a cada dois meses, como antecipação, em percentual não inferior a 50% do INPC do bimestre anterior (art. 3º).</w:t>
      </w:r>
    </w:p>
    <w:p w14:paraId="4FC0EB62" w14:textId="77777777" w:rsidR="005A292A" w:rsidRPr="007617CA" w:rsidRDefault="005A292A" w:rsidP="005A292A">
      <w:pPr>
        <w:jc w:val="both"/>
        <w:rPr>
          <w:rFonts w:ascii="Cambria" w:hAnsi="Cambria" w:cs="Times New Roman"/>
          <w:sz w:val="24"/>
        </w:rPr>
      </w:pPr>
    </w:p>
    <w:p w14:paraId="3712DD3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Para efeito de aplicação desses reajustes, os trabalhadores são enquadrados em .... grupos distintos, de acordo com a respectiva data-base. A categoria bancária tem data-base em setembro e pertence ao Grupo I (art. 3º, I).</w:t>
      </w:r>
    </w:p>
    <w:p w14:paraId="69BCDC1F" w14:textId="77777777" w:rsidR="005A292A" w:rsidRPr="007617CA" w:rsidRDefault="005A292A" w:rsidP="005A292A">
      <w:pPr>
        <w:jc w:val="both"/>
        <w:rPr>
          <w:rFonts w:ascii="Cambria" w:hAnsi="Cambria" w:cs="Times New Roman"/>
          <w:sz w:val="24"/>
        </w:rPr>
      </w:pPr>
    </w:p>
    <w:p w14:paraId="0D556F00"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reajuste quadrimestral tem por escopo a reposição das perdas já ocorridas. Repõe ao salário o índice da inflação passada, corrigindo a remuneração até a faixa de três salários mínimos.</w:t>
      </w:r>
    </w:p>
    <w:p w14:paraId="21900F65" w14:textId="77777777" w:rsidR="005A292A" w:rsidRPr="007617CA" w:rsidRDefault="005A292A" w:rsidP="005A292A">
      <w:pPr>
        <w:jc w:val="both"/>
        <w:rPr>
          <w:rFonts w:ascii="Cambria" w:hAnsi="Cambria" w:cs="Times New Roman"/>
          <w:sz w:val="24"/>
        </w:rPr>
      </w:pPr>
    </w:p>
    <w:p w14:paraId="2EAB589B"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correção bimestral é concedida como "antecipação de perdas futuras" e tem como finalidade prevenir a corrosão inflacionária, até a completa recomposição das perdas com o reajuste quadrimestral. Também, se aplica à faixa de até três salários mínimos.</w:t>
      </w:r>
    </w:p>
    <w:p w14:paraId="7E72EDA6" w14:textId="77777777" w:rsidR="005A292A" w:rsidRPr="007617CA" w:rsidRDefault="005A292A" w:rsidP="005A292A">
      <w:pPr>
        <w:jc w:val="both"/>
        <w:rPr>
          <w:rFonts w:ascii="Cambria" w:hAnsi="Cambria" w:cs="Times New Roman"/>
          <w:sz w:val="24"/>
        </w:rPr>
      </w:pPr>
    </w:p>
    <w:p w14:paraId="1A13F41D"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antecipação bimestral é típico mecanismo de prefixação do salário, medida já contemplada no chamado Plano Collor I. Naquele conjunto de medidas econômicas, entretanto, a prefixação de preços e salários foi burlada pelo Governo Federal, por um expediente grotesco: a prefixação do índice zero pelo Ministério da Economia.</w:t>
      </w:r>
    </w:p>
    <w:p w14:paraId="0A88CB4A" w14:textId="77777777" w:rsidR="005A292A" w:rsidRPr="007617CA" w:rsidRDefault="005A292A" w:rsidP="005A292A">
      <w:pPr>
        <w:jc w:val="both"/>
        <w:rPr>
          <w:rFonts w:ascii="Cambria" w:hAnsi="Cambria" w:cs="Times New Roman"/>
          <w:sz w:val="24"/>
        </w:rPr>
      </w:pPr>
    </w:p>
    <w:p w14:paraId="3CEB85B0"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Desta vez, o Congresso Nacional impediu tal artifício com a normatização do índice, fixando seu patamar mínimo em 50% do INPC do bimestre anterior (art. 3º da Lei nº 8.222/91).</w:t>
      </w:r>
    </w:p>
    <w:p w14:paraId="3274866F" w14:textId="77777777" w:rsidR="005A292A" w:rsidRPr="007617CA" w:rsidRDefault="005A292A" w:rsidP="005A292A">
      <w:pPr>
        <w:jc w:val="both"/>
        <w:rPr>
          <w:rFonts w:ascii="Cambria" w:hAnsi="Cambria" w:cs="Times New Roman"/>
          <w:sz w:val="24"/>
        </w:rPr>
      </w:pPr>
    </w:p>
    <w:p w14:paraId="3B560D7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Exatamente por combinar antecipação de perdas futuras e reajustamento da inflação pretérita, a Lei nº 8.222/91 prevê a cumulatividade dos dois índices. Tanto que, assim está redigido o parágrafo 1º do seu artigo 3º:</w:t>
      </w:r>
    </w:p>
    <w:p w14:paraId="6F4F7075" w14:textId="77777777" w:rsidR="005A292A" w:rsidRPr="007617CA" w:rsidRDefault="005A292A" w:rsidP="005A292A">
      <w:pPr>
        <w:jc w:val="both"/>
        <w:rPr>
          <w:rFonts w:ascii="Cambria" w:hAnsi="Cambria" w:cs="Times New Roman"/>
          <w:sz w:val="24"/>
        </w:rPr>
      </w:pPr>
    </w:p>
    <w:p w14:paraId="559A3DB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"Os trabalhadores pertencentes aos Grupos I e III farão jus aos reajustes bimestrais fixados nos meses de setembro, novembro, janeiro, março, maio e julho."</w:t>
      </w:r>
    </w:p>
    <w:p w14:paraId="193EE0EA" w14:textId="77777777" w:rsidR="005A292A" w:rsidRPr="007617CA" w:rsidRDefault="005A292A" w:rsidP="005A292A">
      <w:pPr>
        <w:jc w:val="both"/>
        <w:rPr>
          <w:rFonts w:ascii="Cambria" w:hAnsi="Cambria" w:cs="Times New Roman"/>
          <w:sz w:val="24"/>
        </w:rPr>
      </w:pPr>
    </w:p>
    <w:p w14:paraId="1C472A6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Portaria MEFP/GM nº 1.272/91 fixou o índice de antecipação bimestral em 28,50% e menciona apenas os trabalhadores integrantes do Grupo II.</w:t>
      </w:r>
    </w:p>
    <w:p w14:paraId="71329080" w14:textId="77777777" w:rsidR="005A292A" w:rsidRPr="007617CA" w:rsidRDefault="005A292A" w:rsidP="005A292A">
      <w:pPr>
        <w:jc w:val="both"/>
        <w:rPr>
          <w:rFonts w:ascii="Cambria" w:hAnsi="Cambria" w:cs="Times New Roman"/>
          <w:sz w:val="24"/>
        </w:rPr>
      </w:pPr>
    </w:p>
    <w:p w14:paraId="3BDE6B99"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Ocorre que ao Ministério da Economia, Fazenda e Planejamento cabia apenas fixar o índice (não inferior a 50% do INPC do bimestre anterior) e não dizer quais os grupos que a ele fazem jus.</w:t>
      </w:r>
    </w:p>
    <w:p w14:paraId="5ED2920A" w14:textId="77777777" w:rsidR="005A292A" w:rsidRPr="007617CA" w:rsidRDefault="005A292A" w:rsidP="005A292A">
      <w:pPr>
        <w:jc w:val="both"/>
        <w:rPr>
          <w:rFonts w:ascii="Cambria" w:hAnsi="Cambria" w:cs="Times New Roman"/>
          <w:sz w:val="24"/>
        </w:rPr>
      </w:pPr>
    </w:p>
    <w:p w14:paraId="4F397215"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De qualquer sorte, o direito ao reajuste bimestral decorre de literal disposição do parágrafo 2º do artigo 3º da Lei nº 8.222/91 e a norma legal não pode ser revogada por mera portaria do Sr. Ministro.</w:t>
      </w:r>
    </w:p>
    <w:p w14:paraId="69DA7168" w14:textId="77777777" w:rsidR="005A292A" w:rsidRPr="007617CA" w:rsidRDefault="005A292A" w:rsidP="005A292A">
      <w:pPr>
        <w:jc w:val="both"/>
        <w:rPr>
          <w:rFonts w:ascii="Cambria" w:hAnsi="Cambria" w:cs="Times New Roman"/>
          <w:sz w:val="24"/>
        </w:rPr>
      </w:pPr>
    </w:p>
    <w:p w14:paraId="7C3DA48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Neste sentido, a Portaria 1.272/91 é válida apenas quanto à definição do índice, não tendo qualquer validade e eficácia jurídica para excluir ou incluir categorias profissionais dos seus tímidos índices de reajustamento.</w:t>
      </w:r>
    </w:p>
    <w:p w14:paraId="63DECC80" w14:textId="77777777" w:rsidR="005A292A" w:rsidRPr="007617CA" w:rsidRDefault="005A292A" w:rsidP="005A292A">
      <w:pPr>
        <w:jc w:val="both"/>
        <w:rPr>
          <w:rFonts w:ascii="Cambria" w:hAnsi="Cambria" w:cs="Times New Roman"/>
          <w:sz w:val="24"/>
        </w:rPr>
      </w:pPr>
    </w:p>
    <w:p w14:paraId="75584082"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Há reconhecimento do próprio Sindicato Patronal dos Bancos quanto ao direito à esta cumulatividade de reajuste e antecipação. Tanto que na Convenção Coletiva de Trabalho de 1991, pactuou-se que "a antecipação bimestral referente ao mês de setembro de 1991 (data-base), prevista para o Grupo I será devida por ocasião do reajuste quadrimestral, a ser feito em janeiro de 1992" (Cl 1ª, parágrafo 2º).</w:t>
      </w:r>
    </w:p>
    <w:p w14:paraId="55AFBEA6" w14:textId="77777777" w:rsidR="005A292A" w:rsidRPr="007617CA" w:rsidRDefault="005A292A" w:rsidP="005A292A">
      <w:pPr>
        <w:jc w:val="both"/>
        <w:rPr>
          <w:rFonts w:ascii="Cambria" w:hAnsi="Cambria" w:cs="Times New Roman"/>
          <w:sz w:val="24"/>
        </w:rPr>
      </w:pPr>
    </w:p>
    <w:p w14:paraId="5231D739"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Reconhecido o direito assegurado na lei convencionando-se o adiantamento do reajuste, excepcionalmente na data-base, isto importa reconhecer a cumulatividade nos reajustes quadrimestrais (a norma é a mesma, o art. 3º, parágrafo 2º da Lei nº 8.222/91).</w:t>
      </w:r>
    </w:p>
    <w:p w14:paraId="5D1A7548" w14:textId="77777777" w:rsidR="005A292A" w:rsidRPr="007617CA" w:rsidRDefault="005A292A" w:rsidP="005A292A">
      <w:pPr>
        <w:jc w:val="both"/>
        <w:rPr>
          <w:rFonts w:ascii="Cambria" w:hAnsi="Cambria" w:cs="Times New Roman"/>
          <w:sz w:val="24"/>
        </w:rPr>
      </w:pPr>
    </w:p>
    <w:p w14:paraId="5B12213F"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Entretanto, a exemplo de todas as outras instituições financeiras do País, orquestradas pela Fenabam, o réu aplicou aos salários dos seus empregados apenas o reajuste quadrimestral de janeiro (78,72% para o piso). Não lhes majorou a remuneração pela antecipação bimestral, devida no mesmo mês, pelo índice de 28,50%, sendo devidas as respectivas diferenças salariais.</w:t>
      </w:r>
    </w:p>
    <w:p w14:paraId="619262C6" w14:textId="77777777" w:rsidR="005A292A" w:rsidRPr="007617CA" w:rsidRDefault="005A292A" w:rsidP="005A292A">
      <w:pPr>
        <w:jc w:val="both"/>
        <w:rPr>
          <w:rFonts w:ascii="Cambria" w:hAnsi="Cambria" w:cs="Times New Roman"/>
          <w:sz w:val="24"/>
        </w:rPr>
      </w:pPr>
    </w:p>
    <w:p w14:paraId="47E42D8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3. HONORÁRIOS ASSISTENCIAIS - Demonstrativo da remuneração da categoria e prova de miserabilidade.</w:t>
      </w:r>
    </w:p>
    <w:p w14:paraId="17B48272" w14:textId="77777777" w:rsidR="005A292A" w:rsidRPr="007617CA" w:rsidRDefault="005A292A" w:rsidP="005A292A">
      <w:pPr>
        <w:jc w:val="both"/>
        <w:rPr>
          <w:rFonts w:ascii="Cambria" w:hAnsi="Cambria" w:cs="Times New Roman"/>
          <w:sz w:val="24"/>
        </w:rPr>
      </w:pPr>
    </w:p>
    <w:p w14:paraId="02FD0B70"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Lei nº 5.584/70 determina a condenação do vencido nos honorários, quando a parte percebe menos do que duas vezes o salário mínimo ou prova não ter condições de suportar o pagamento de custas processuais e honorários advocatícios, sem prejuízo do próprio sustento ou de sua família.</w:t>
      </w:r>
    </w:p>
    <w:p w14:paraId="40AC67C2" w14:textId="77777777" w:rsidR="005A292A" w:rsidRPr="007617CA" w:rsidRDefault="005A292A" w:rsidP="005A292A">
      <w:pPr>
        <w:jc w:val="both"/>
        <w:rPr>
          <w:rFonts w:ascii="Cambria" w:hAnsi="Cambria" w:cs="Times New Roman"/>
          <w:sz w:val="24"/>
        </w:rPr>
      </w:pPr>
    </w:p>
    <w:p w14:paraId="31154D6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Na esfera trabalhista a interpretação destas normas encontra-se consubstanciada no Enunciado nº 219 do TST.</w:t>
      </w:r>
    </w:p>
    <w:p w14:paraId="1948382D" w14:textId="77777777" w:rsidR="005A292A" w:rsidRPr="007617CA" w:rsidRDefault="005A292A" w:rsidP="005A292A">
      <w:pPr>
        <w:jc w:val="both"/>
        <w:rPr>
          <w:rFonts w:ascii="Cambria" w:hAnsi="Cambria" w:cs="Times New Roman"/>
          <w:sz w:val="24"/>
        </w:rPr>
      </w:pPr>
    </w:p>
    <w:p w14:paraId="029FC73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Havendo substituição processual, o entendimento predominante da jurisprudência é traduzido pelo Enunciado nº 220 da Súmula do TST:</w:t>
      </w:r>
    </w:p>
    <w:p w14:paraId="46A9D9DA" w14:textId="77777777" w:rsidR="005A292A" w:rsidRPr="007617CA" w:rsidRDefault="005A292A" w:rsidP="005A292A">
      <w:pPr>
        <w:jc w:val="both"/>
        <w:rPr>
          <w:rFonts w:ascii="Cambria" w:hAnsi="Cambria" w:cs="Times New Roman"/>
          <w:sz w:val="24"/>
        </w:rPr>
      </w:pPr>
    </w:p>
    <w:p w14:paraId="7D17505E"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"Atendidos os requisitos da Lei nº 5.584/84, são devidos os honorários advocatícios, ainda que o sindicato figure como substituto processual."</w:t>
      </w:r>
    </w:p>
    <w:p w14:paraId="027324A2" w14:textId="77777777" w:rsidR="005A292A" w:rsidRPr="007617CA" w:rsidRDefault="005A292A" w:rsidP="005A292A">
      <w:pPr>
        <w:jc w:val="both"/>
        <w:rPr>
          <w:rFonts w:ascii="Cambria" w:hAnsi="Cambria" w:cs="Times New Roman"/>
          <w:sz w:val="24"/>
        </w:rPr>
      </w:pPr>
    </w:p>
    <w:p w14:paraId="1650FF5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Lei nº 7.510/86, dando nova redação à Lei 1.060/50, admite como prova desta condição de hiposuficiência econômica a simples declaração da parte, formulada na petição inicial.</w:t>
      </w:r>
    </w:p>
    <w:p w14:paraId="3C60980E" w14:textId="77777777" w:rsidR="005A292A" w:rsidRPr="007617CA" w:rsidRDefault="005A292A" w:rsidP="005A292A">
      <w:pPr>
        <w:jc w:val="both"/>
        <w:rPr>
          <w:rFonts w:ascii="Cambria" w:hAnsi="Cambria" w:cs="Times New Roman"/>
          <w:sz w:val="24"/>
        </w:rPr>
      </w:pPr>
    </w:p>
    <w:p w14:paraId="60B62DB2"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"Existindo nos autos declaração de que o reclamante não pode demandar em juízo, sem prejuízo do próprio sustento e o de sua família, são devidos os honorários advocatícios, por força do disposto no art. 4º da  Lei nº 7.510/86, uma vez que também satisfeitos os requisitos da Lei nº 5.584/70." (TRT-PR-RO - 1.367/90, Ac.1ª T. 2.985/91 - Rel. Juiz Armando de Souza Couto - in DJ/PR 3.410, de 25/05/91, p. 144.).</w:t>
      </w:r>
    </w:p>
    <w:p w14:paraId="4803F2FC" w14:textId="77777777" w:rsidR="005A292A" w:rsidRPr="007617CA" w:rsidRDefault="005A292A" w:rsidP="005A292A">
      <w:pPr>
        <w:jc w:val="both"/>
        <w:rPr>
          <w:rFonts w:ascii="Cambria" w:hAnsi="Cambria" w:cs="Times New Roman"/>
          <w:sz w:val="24"/>
        </w:rPr>
      </w:pPr>
    </w:p>
    <w:p w14:paraId="5A8D87E9"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Exatamente nos termos acima, declara o autor que os empregados do réu, aqui substituídos processualmente, não têm condições de suportar o pagamento de custas processuais e honorários de advogado, devendo estes serem suportados pelo réu, nos termos dos Enunciados nºs 219 e 220 do TST.</w:t>
      </w:r>
    </w:p>
    <w:p w14:paraId="02A3D1BC" w14:textId="77777777" w:rsidR="005A292A" w:rsidRPr="007617CA" w:rsidRDefault="005A292A" w:rsidP="005A292A">
      <w:pPr>
        <w:jc w:val="both"/>
        <w:rPr>
          <w:rFonts w:ascii="Cambria" w:hAnsi="Cambria" w:cs="Times New Roman"/>
          <w:sz w:val="24"/>
        </w:rPr>
      </w:pPr>
    </w:p>
    <w:p w14:paraId="61B1D5D6"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Para demonstração desse estado econômico, expõe:</w:t>
      </w:r>
    </w:p>
    <w:p w14:paraId="7E6569F4" w14:textId="77777777" w:rsidR="005A292A" w:rsidRPr="007617CA" w:rsidRDefault="005A292A" w:rsidP="005A292A">
      <w:pPr>
        <w:jc w:val="both"/>
        <w:rPr>
          <w:rFonts w:ascii="Cambria" w:hAnsi="Cambria" w:cs="Times New Roman"/>
          <w:sz w:val="24"/>
        </w:rPr>
      </w:pPr>
    </w:p>
    <w:p w14:paraId="139EA61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em ...., véspera da data-base, o piso salarial do pessoal de .... estava em R$ .... para cidades com mais de .... mil habitantes, o que eqüivalia a apenas .... salário mínimo. Para cidades com menos de .... mil habitantes, o piso era de R$ ...., equivalentes a .... salários mínimos. Nesse mês, o salário mínimo valia R$ .... (acrescido o artifício do abono);</w:t>
      </w:r>
    </w:p>
    <w:p w14:paraId="48574C60" w14:textId="77777777" w:rsidR="005A292A" w:rsidRPr="007617CA" w:rsidRDefault="005A292A" w:rsidP="005A292A">
      <w:pPr>
        <w:jc w:val="both"/>
        <w:rPr>
          <w:rFonts w:ascii="Cambria" w:hAnsi="Cambria" w:cs="Times New Roman"/>
          <w:sz w:val="24"/>
        </w:rPr>
      </w:pPr>
    </w:p>
    <w:p w14:paraId="5819CE4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b) no mesmo mês, o .... tinha piso de R$ .... em cidade com mais  de .... mil habitantes (.... salário mínimo) e de R$ ...., nas cidades com menos de .... mil habitantes (.... salário mínimo);</w:t>
      </w:r>
    </w:p>
    <w:p w14:paraId="710C2820" w14:textId="77777777" w:rsidR="005A292A" w:rsidRPr="007617CA" w:rsidRDefault="005A292A" w:rsidP="005A292A">
      <w:pPr>
        <w:jc w:val="both"/>
        <w:rPr>
          <w:rFonts w:ascii="Cambria" w:hAnsi="Cambria" w:cs="Times New Roman"/>
          <w:sz w:val="24"/>
        </w:rPr>
      </w:pPr>
    </w:p>
    <w:p w14:paraId="7A6C50C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c) que o piso salarial da categoria é inferior a .... e pouco superior a .... salários mínimos durante quase todo o ano (no mês da data-base e do reajuste .... fica a menos de ....; nos demais, aproxima-se de ....), sendo que, a maioria absoluta dos .... percebem apenas este piso normativo;</w:t>
      </w:r>
    </w:p>
    <w:p w14:paraId="2862E324" w14:textId="77777777" w:rsidR="005A292A" w:rsidRPr="007617CA" w:rsidRDefault="005A292A" w:rsidP="005A292A">
      <w:pPr>
        <w:jc w:val="both"/>
        <w:rPr>
          <w:rFonts w:ascii="Cambria" w:hAnsi="Cambria" w:cs="Times New Roman"/>
          <w:sz w:val="24"/>
        </w:rPr>
      </w:pPr>
    </w:p>
    <w:p w14:paraId="74B0ACA0"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 que o salário mínimo corretamente calculado pelo DIEESE deveria ser R$ .... (....), valor superior ao piso normativo da categoria (pouco mais de R$ .... para o pessoal de portaria, em ....);</w:t>
      </w:r>
    </w:p>
    <w:p w14:paraId="38DB5A15" w14:textId="77777777" w:rsidR="005A292A" w:rsidRPr="007617CA" w:rsidRDefault="005A292A" w:rsidP="005A292A">
      <w:pPr>
        <w:jc w:val="both"/>
        <w:rPr>
          <w:rFonts w:ascii="Cambria" w:hAnsi="Cambria" w:cs="Times New Roman"/>
          <w:sz w:val="24"/>
        </w:rPr>
      </w:pPr>
    </w:p>
    <w:p w14:paraId="521B971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 que o salário mínimo brasileiro equivale a míseros R$ ...., contra .... do ...., .... da ...., .... da ....., .... dos ....</w:t>
      </w:r>
    </w:p>
    <w:p w14:paraId="078047CB" w14:textId="77777777" w:rsidR="005A292A" w:rsidRPr="007617CA" w:rsidRDefault="005A292A" w:rsidP="005A292A">
      <w:pPr>
        <w:jc w:val="both"/>
        <w:rPr>
          <w:rFonts w:ascii="Cambria" w:hAnsi="Cambria" w:cs="Times New Roman"/>
          <w:sz w:val="24"/>
        </w:rPr>
      </w:pPr>
    </w:p>
    <w:p w14:paraId="5F4EE29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f) que as taxas de lucros dos bancos e seus fabulosos impérios é a prova da miserabilidade econômica da categoria bancária</w:t>
      </w:r>
    </w:p>
    <w:p w14:paraId="70572B91" w14:textId="77777777" w:rsidR="005A292A" w:rsidRPr="007617CA" w:rsidRDefault="005A292A" w:rsidP="005A292A">
      <w:pPr>
        <w:jc w:val="both"/>
        <w:rPr>
          <w:rFonts w:ascii="Cambria" w:hAnsi="Cambria" w:cs="Times New Roman"/>
          <w:sz w:val="24"/>
        </w:rPr>
      </w:pPr>
    </w:p>
    <w:p w14:paraId="5B2F57C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Senegal é um dos países mais pobres do mundo e tem renda per capita de cerca de R$ .... contra aproximadamente R$ .... do brasileiro. Mesmo assim, seu salário mínimo é superior ao do Brasil, ficando na faixa de R$ ....</w:t>
      </w:r>
    </w:p>
    <w:p w14:paraId="4247621B" w14:textId="77777777" w:rsidR="005A292A" w:rsidRPr="007617CA" w:rsidRDefault="005A292A" w:rsidP="005A292A">
      <w:pPr>
        <w:jc w:val="both"/>
        <w:rPr>
          <w:rFonts w:ascii="Cambria" w:hAnsi="Cambria" w:cs="Times New Roman"/>
          <w:sz w:val="24"/>
        </w:rPr>
      </w:pPr>
    </w:p>
    <w:p w14:paraId="478B867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Os demonstrativos anexos mostram o baixo poder aquisitivo dos empregados do réu, aqui substituídos processualmente, tornando cabível a sua condenação no pagamento de honorários assistenciais na forma dos Enunciados 219 e 220 TST.</w:t>
      </w:r>
    </w:p>
    <w:p w14:paraId="4EB26935" w14:textId="77777777" w:rsidR="005A292A" w:rsidRPr="007617CA" w:rsidRDefault="005A292A" w:rsidP="005A292A">
      <w:pPr>
        <w:jc w:val="both"/>
        <w:rPr>
          <w:rFonts w:ascii="Cambria" w:hAnsi="Cambria" w:cs="Times New Roman"/>
          <w:sz w:val="24"/>
        </w:rPr>
      </w:pPr>
    </w:p>
    <w:p w14:paraId="2D7AF843"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4. CONSEQÜÊNCIAS NA DATA-BASE. Integração ao salário dos índices postulados.</w:t>
      </w:r>
    </w:p>
    <w:p w14:paraId="6192EC4B" w14:textId="77777777" w:rsidR="005A292A" w:rsidRPr="007617CA" w:rsidRDefault="005A292A" w:rsidP="005A292A">
      <w:pPr>
        <w:jc w:val="both"/>
        <w:rPr>
          <w:rFonts w:ascii="Cambria" w:hAnsi="Cambria" w:cs="Times New Roman"/>
          <w:sz w:val="24"/>
        </w:rPr>
      </w:pPr>
    </w:p>
    <w:p w14:paraId="5C7FDDC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 inflação de .... de .... deve ser integrada ao salário e não simplesmente deferida como antecipação salarial, eis que, na data-base da categoria, em .... daquele ano, referido índice não foi aplicado no reajuste estabelecido pelo empregador.</w:t>
      </w:r>
    </w:p>
    <w:p w14:paraId="306CD22C" w14:textId="77777777" w:rsidR="005A292A" w:rsidRPr="007617CA" w:rsidRDefault="005A292A" w:rsidP="005A292A">
      <w:pPr>
        <w:jc w:val="both"/>
        <w:rPr>
          <w:rFonts w:ascii="Cambria" w:hAnsi="Cambria" w:cs="Times New Roman"/>
          <w:sz w:val="24"/>
        </w:rPr>
      </w:pPr>
    </w:p>
    <w:p w14:paraId="59C7AD83"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Se assim não fosse, isto é, sem a integração, o salário do bancário de .... seria superior ao de .... de ...., com frontal violação ao princípio da intangibilidade salarial consagrado no art. 468 da CLT.</w:t>
      </w:r>
    </w:p>
    <w:p w14:paraId="5C585806" w14:textId="77777777" w:rsidR="005A292A" w:rsidRPr="007617CA" w:rsidRDefault="005A292A" w:rsidP="005A292A">
      <w:pPr>
        <w:jc w:val="both"/>
        <w:rPr>
          <w:rFonts w:ascii="Cambria" w:hAnsi="Cambria" w:cs="Times New Roman"/>
          <w:sz w:val="24"/>
        </w:rPr>
      </w:pPr>
    </w:p>
    <w:p w14:paraId="4435CB6D"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O mesmo ocorrerá se o réu não demonstrar, em execução, que a antecipação de ....%, devida a partir de .... de ...., que veio a incorporar o aludido índice.</w:t>
      </w:r>
    </w:p>
    <w:p w14:paraId="5EC9E7FE" w14:textId="77777777" w:rsidR="005A292A" w:rsidRPr="007617CA" w:rsidRDefault="005A292A" w:rsidP="005A292A">
      <w:pPr>
        <w:jc w:val="both"/>
        <w:rPr>
          <w:rFonts w:ascii="Cambria" w:hAnsi="Cambria" w:cs="Times New Roman"/>
          <w:sz w:val="24"/>
        </w:rPr>
      </w:pPr>
    </w:p>
    <w:p w14:paraId="02D5DB7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DOS PEDIDOS</w:t>
      </w:r>
    </w:p>
    <w:p w14:paraId="6151E036" w14:textId="77777777" w:rsidR="005A292A" w:rsidRPr="007617CA" w:rsidRDefault="005A292A" w:rsidP="005A292A">
      <w:pPr>
        <w:jc w:val="both"/>
        <w:rPr>
          <w:rFonts w:ascii="Cambria" w:hAnsi="Cambria" w:cs="Times New Roman"/>
          <w:sz w:val="24"/>
        </w:rPr>
      </w:pPr>
    </w:p>
    <w:p w14:paraId="1D13725B"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Em face do exposto, pleiteia o autor, seja a ação julgada procedente, para o fim de:</w:t>
      </w:r>
    </w:p>
    <w:p w14:paraId="0E16C568" w14:textId="77777777" w:rsidR="005A292A" w:rsidRPr="007617CA" w:rsidRDefault="005A292A" w:rsidP="005A292A">
      <w:pPr>
        <w:jc w:val="both"/>
        <w:rPr>
          <w:rFonts w:ascii="Cambria" w:hAnsi="Cambria" w:cs="Times New Roman"/>
          <w:sz w:val="24"/>
        </w:rPr>
      </w:pPr>
    </w:p>
    <w:p w14:paraId="1A9FF10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1) Ser declarada a inconstitucionalidade do Decreto Lei nº 2.335/87, relativamente ao "gatilho" de julho de 1987, de 20%, com a integração ao salário do INPC de junho daquele ano, no índice de 26,05%, a partir da data-base (.../...), ante o exposto no tomo VI, condenando-se o réu no pagamento das respectivas diferenças salariais, parcelas vencidas e vincendas, com reflexos em 13º salários, férias, horas extras, anuências, gratificações, comissões de função e todas  as demais vantagens calculadas com base nos salários;</w:t>
      </w:r>
    </w:p>
    <w:p w14:paraId="04EEC056" w14:textId="77777777" w:rsidR="005A292A" w:rsidRPr="007617CA" w:rsidRDefault="005A292A" w:rsidP="005A292A">
      <w:pPr>
        <w:jc w:val="both"/>
        <w:rPr>
          <w:rFonts w:ascii="Cambria" w:hAnsi="Cambria" w:cs="Times New Roman"/>
          <w:sz w:val="24"/>
        </w:rPr>
      </w:pPr>
    </w:p>
    <w:p w14:paraId="56556374"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2) Ser declarado o direito ao reajustamento cumulativo dos salários pelos índices de correção .... e antecipação ...., a partir de .... de ...., inclusive, até a integração definitiva aos salários do índice de antecipação;</w:t>
      </w:r>
    </w:p>
    <w:p w14:paraId="24D54C88" w14:textId="77777777" w:rsidR="005A292A" w:rsidRPr="007617CA" w:rsidRDefault="005A292A" w:rsidP="005A292A">
      <w:pPr>
        <w:jc w:val="both"/>
        <w:rPr>
          <w:rFonts w:ascii="Cambria" w:hAnsi="Cambria" w:cs="Times New Roman"/>
          <w:sz w:val="24"/>
        </w:rPr>
      </w:pPr>
    </w:p>
    <w:p w14:paraId="25E5CCC2"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3) A condenação do réu no pagamento das diferenças salariais resultantes da aplicação do reajuste de ....%, a título de antecipação ...., incidentes sobre os salários de ...., já majorados pelo reajuste .... e devidos a partir de .../..., inclusive, em diante, com reflexos em 13º salários, férias, horas extras, anuências, gratificações, comissões de função e todas as demais vantagens calculadas com base nos salários;</w:t>
      </w:r>
    </w:p>
    <w:p w14:paraId="7BECEFA9" w14:textId="77777777" w:rsidR="005A292A" w:rsidRPr="007617CA" w:rsidRDefault="005A292A" w:rsidP="005A292A">
      <w:pPr>
        <w:jc w:val="both"/>
        <w:rPr>
          <w:rFonts w:ascii="Cambria" w:hAnsi="Cambria" w:cs="Times New Roman"/>
          <w:sz w:val="24"/>
        </w:rPr>
      </w:pPr>
    </w:p>
    <w:p w14:paraId="4BB327A5"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4) A declaração de que os salários recompostos na forma dos pedidos anteriores devem ser observados inclusive no cálculo de verbas rescisórias, quanto aos empregados que tiverem seus contratos de trabalho findos no período respectivo;</w:t>
      </w:r>
    </w:p>
    <w:p w14:paraId="3304CB85" w14:textId="77777777" w:rsidR="005A292A" w:rsidRPr="007617CA" w:rsidRDefault="005A292A" w:rsidP="005A292A">
      <w:pPr>
        <w:jc w:val="both"/>
        <w:rPr>
          <w:rFonts w:ascii="Cambria" w:hAnsi="Cambria" w:cs="Times New Roman"/>
          <w:sz w:val="24"/>
        </w:rPr>
      </w:pPr>
    </w:p>
    <w:p w14:paraId="5A007A5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5) A condenação do réu, ainda, no pagamento das diferenças de verbas rescisórias (aviso prévio, férias, 13º, saldo de salários, FGTS e multa de 40%, etc.), relativamente àqueles seus empregados, aqui substituídos processualmente, que tiverem seus contratos de trabalho rescindidos;</w:t>
      </w:r>
    </w:p>
    <w:p w14:paraId="5F625151" w14:textId="77777777" w:rsidR="005A292A" w:rsidRPr="007617CA" w:rsidRDefault="005A292A" w:rsidP="005A292A">
      <w:pPr>
        <w:jc w:val="both"/>
        <w:rPr>
          <w:rFonts w:ascii="Cambria" w:hAnsi="Cambria" w:cs="Times New Roman"/>
          <w:sz w:val="24"/>
        </w:rPr>
      </w:pPr>
    </w:p>
    <w:p w14:paraId="59D677FA"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6) A condenação do réu, finalmente, no pagamento de honorários advocatícios assistenciais, nos termos da Lei nº 5.584/70 c/c a Lei nº 1.060/50 e a Lei nº 8.510/86, e nos termos dos Enunciados nºs 219 e 220 da Súmula do TST (tomo V);</w:t>
      </w:r>
    </w:p>
    <w:p w14:paraId="13C58CB6" w14:textId="77777777" w:rsidR="005A292A" w:rsidRPr="007617CA" w:rsidRDefault="005A292A" w:rsidP="005A292A">
      <w:pPr>
        <w:jc w:val="both"/>
        <w:rPr>
          <w:rFonts w:ascii="Cambria" w:hAnsi="Cambria" w:cs="Times New Roman"/>
          <w:sz w:val="24"/>
        </w:rPr>
      </w:pPr>
    </w:p>
    <w:p w14:paraId="1CB3E242"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7) Seja determinado ao réu que recolha à conta vinculada de cada um dos seus trabalhadores o correspondente ao FGTS incidente sobre as verbas pleiteadas no item 3 supra;</w:t>
      </w:r>
    </w:p>
    <w:p w14:paraId="3BFBC409" w14:textId="77777777" w:rsidR="005A292A" w:rsidRPr="007617CA" w:rsidRDefault="005A292A" w:rsidP="005A292A">
      <w:pPr>
        <w:jc w:val="both"/>
        <w:rPr>
          <w:rFonts w:ascii="Cambria" w:hAnsi="Cambria" w:cs="Times New Roman"/>
          <w:sz w:val="24"/>
        </w:rPr>
      </w:pPr>
    </w:p>
    <w:p w14:paraId="449C60BD"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8) Correção monetária e juros na forma do Enunciado 200  do TST.</w:t>
      </w:r>
    </w:p>
    <w:p w14:paraId="3E3819D6" w14:textId="77777777" w:rsidR="005A292A" w:rsidRPr="007617CA" w:rsidRDefault="005A292A" w:rsidP="005A292A">
      <w:pPr>
        <w:jc w:val="both"/>
        <w:rPr>
          <w:rFonts w:ascii="Cambria" w:hAnsi="Cambria" w:cs="Times New Roman"/>
          <w:sz w:val="24"/>
        </w:rPr>
      </w:pPr>
    </w:p>
    <w:p w14:paraId="09440528"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REQUERIMENTOS FINAIS</w:t>
      </w:r>
    </w:p>
    <w:p w14:paraId="11867DEA" w14:textId="77777777" w:rsidR="005A292A" w:rsidRPr="007617CA" w:rsidRDefault="005A292A" w:rsidP="005A292A">
      <w:pPr>
        <w:jc w:val="both"/>
        <w:rPr>
          <w:rFonts w:ascii="Cambria" w:hAnsi="Cambria" w:cs="Times New Roman"/>
          <w:sz w:val="24"/>
        </w:rPr>
      </w:pPr>
    </w:p>
    <w:p w14:paraId="6F993E31"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Requer ainda, seja determinada a citação do réu, protestando pela produção de provas por todos os meios legais, especialmente, o depoimento pessoal do preposto, sob pena de confissão, a oitiva de testemunhas e a realização de perícias.</w:t>
      </w:r>
    </w:p>
    <w:p w14:paraId="64F3C2E1" w14:textId="77777777" w:rsidR="005A292A" w:rsidRPr="007617CA" w:rsidRDefault="005A292A" w:rsidP="005A292A">
      <w:pPr>
        <w:jc w:val="both"/>
        <w:rPr>
          <w:rFonts w:ascii="Cambria" w:hAnsi="Cambria" w:cs="Times New Roman"/>
          <w:sz w:val="24"/>
        </w:rPr>
      </w:pPr>
    </w:p>
    <w:p w14:paraId="76880CE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Pede que seja determinado ao réu, que frente aos autos os recibos de pagamento dos seus empregados no período in</w:t>
      </w:r>
      <w:r w:rsidR="004E660D" w:rsidRPr="007617CA">
        <w:rPr>
          <w:rFonts w:ascii="Cambria" w:hAnsi="Cambria" w:cs="Times New Roman"/>
          <w:sz w:val="24"/>
        </w:rPr>
        <w:t>dicado, sob as penas do art. 400</w:t>
      </w:r>
      <w:r w:rsidRPr="007617CA">
        <w:rPr>
          <w:rFonts w:ascii="Cambria" w:hAnsi="Cambria" w:cs="Times New Roman"/>
          <w:sz w:val="24"/>
        </w:rPr>
        <w:t xml:space="preserve"> do </w:t>
      </w:r>
      <w:r w:rsidR="004E660D" w:rsidRPr="007617CA">
        <w:rPr>
          <w:rFonts w:ascii="Cambria" w:hAnsi="Cambria" w:cs="Times New Roman"/>
          <w:sz w:val="24"/>
        </w:rPr>
        <w:t>N</w:t>
      </w:r>
      <w:r w:rsidRPr="007617CA">
        <w:rPr>
          <w:rFonts w:ascii="Cambria" w:hAnsi="Cambria" w:cs="Times New Roman"/>
          <w:sz w:val="24"/>
        </w:rPr>
        <w:t>CPC.</w:t>
      </w:r>
    </w:p>
    <w:p w14:paraId="5C64BC1C" w14:textId="77777777" w:rsidR="005A292A" w:rsidRPr="007617CA" w:rsidRDefault="005A292A" w:rsidP="005A292A">
      <w:pPr>
        <w:jc w:val="both"/>
        <w:rPr>
          <w:rFonts w:ascii="Cambria" w:hAnsi="Cambria" w:cs="Times New Roman"/>
          <w:sz w:val="24"/>
        </w:rPr>
      </w:pPr>
    </w:p>
    <w:p w14:paraId="1F915A1C"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Dá-se à causa o valor de R$ .....</w:t>
      </w:r>
    </w:p>
    <w:p w14:paraId="263AB924" w14:textId="77777777" w:rsidR="005A292A" w:rsidRPr="007617CA" w:rsidRDefault="005A292A" w:rsidP="005A292A">
      <w:pPr>
        <w:jc w:val="both"/>
        <w:rPr>
          <w:rFonts w:ascii="Cambria" w:hAnsi="Cambria" w:cs="Times New Roman"/>
          <w:sz w:val="24"/>
        </w:rPr>
      </w:pPr>
    </w:p>
    <w:p w14:paraId="35DD732B"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Nesses Termos,</w:t>
      </w:r>
    </w:p>
    <w:p w14:paraId="0B981157"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Pede Deferimento.</w:t>
      </w:r>
    </w:p>
    <w:p w14:paraId="63DDEC7A" w14:textId="77777777" w:rsidR="005A292A" w:rsidRPr="007617CA" w:rsidRDefault="005A292A" w:rsidP="005A292A">
      <w:pPr>
        <w:jc w:val="both"/>
        <w:rPr>
          <w:rFonts w:ascii="Cambria" w:hAnsi="Cambria" w:cs="Times New Roman"/>
          <w:sz w:val="24"/>
        </w:rPr>
      </w:pPr>
    </w:p>
    <w:p w14:paraId="53C5F529"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[Local], [dia] de [mês] de [ano].</w:t>
      </w:r>
    </w:p>
    <w:p w14:paraId="6C5B14DC" w14:textId="77777777" w:rsidR="005A292A" w:rsidRPr="007617CA" w:rsidRDefault="005A292A" w:rsidP="005A292A">
      <w:pPr>
        <w:jc w:val="both"/>
        <w:rPr>
          <w:rFonts w:ascii="Cambria" w:hAnsi="Cambria" w:cs="Times New Roman"/>
          <w:sz w:val="24"/>
        </w:rPr>
      </w:pPr>
    </w:p>
    <w:p w14:paraId="7D3C3C7F" w14:textId="77777777" w:rsidR="005A292A" w:rsidRPr="007617CA" w:rsidRDefault="005A292A" w:rsidP="005A292A">
      <w:pPr>
        <w:jc w:val="both"/>
        <w:rPr>
          <w:rFonts w:ascii="Cambria" w:hAnsi="Cambria" w:cs="Times New Roman"/>
          <w:sz w:val="24"/>
        </w:rPr>
      </w:pPr>
      <w:r w:rsidRPr="007617CA">
        <w:rPr>
          <w:rFonts w:ascii="Cambria" w:hAnsi="Cambria" w:cs="Times New Roman"/>
          <w:sz w:val="24"/>
        </w:rPr>
        <w:t>[Assinatura do Advogado]</w:t>
      </w:r>
    </w:p>
    <w:p w14:paraId="0AE9C8A7" w14:textId="77777777" w:rsidR="00455D55" w:rsidRPr="007617CA" w:rsidRDefault="005A292A" w:rsidP="005A292A">
      <w:pPr>
        <w:jc w:val="both"/>
        <w:rPr>
          <w:rFonts w:ascii="Cambria" w:hAnsi="Cambria" w:cs="Times New Roman"/>
          <w:sz w:val="24"/>
        </w:rPr>
      </w:pPr>
      <w:r w:rsidRPr="007617CA">
        <w:rPr>
          <w:rFonts w:ascii="Cambria" w:hAnsi="Cambria" w:cs="Times New Roman"/>
          <w:sz w:val="24"/>
        </w:rPr>
        <w:t>[Número de Inscrição na OAB]</w:t>
      </w:r>
    </w:p>
    <w:sectPr w:rsidR="00455D55" w:rsidRPr="007617CA" w:rsidSect="005A292A">
      <w:headerReference w:type="even" r:id="rId6"/>
      <w:headerReference w:type="default" r:id="rId7"/>
      <w:footerReference w:type="even" r:id="rId8"/>
      <w:footerReference w:type="default" r:id="rId9"/>
      <w:headerReference w:type="first" r:id="rId10"/>
      <w:footerReference w:type="first" r:id="rId11"/>
      <w:pgSz w:w="11906" w:h="16838"/>
      <w:pgMar w:top="1360" w:right="1700" w:bottom="1360" w:left="17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7D73F1" w14:textId="77777777" w:rsidR="007617CA" w:rsidRDefault="007617CA" w:rsidP="007617CA">
      <w:pPr>
        <w:spacing w:after="0" w:line="240" w:lineRule="auto"/>
      </w:pPr>
      <w:r>
        <w:separator/>
      </w:r>
    </w:p>
  </w:endnote>
  <w:endnote w:type="continuationSeparator" w:id="0">
    <w:p w14:paraId="6C3BCD66" w14:textId="77777777" w:rsidR="007617CA" w:rsidRDefault="007617CA" w:rsidP="007617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altName w:val=" 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8199DB" w14:textId="77777777" w:rsidR="007617CA" w:rsidRDefault="007617CA">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C1F9087" w14:textId="6AF17202" w:rsidR="007617CA" w:rsidRPr="007617CA" w:rsidRDefault="007617CA" w:rsidP="007617CA">
    <w:pPr>
      <w:pStyle w:val="Rodap"/>
      <w:jc w:val="center"/>
      <w:rPr>
        <w:color w:val="C0C0C0"/>
      </w:rPr>
    </w:pPr>
    <w:r w:rsidRPr="007617CA">
      <w:rPr>
        <w:color w:val="C0C0C0"/>
      </w:rPr>
      <w:t>Documento Oficial do site: peticaoemword.com.br</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3A79C4" w14:textId="77777777" w:rsidR="007617CA" w:rsidRDefault="007617CA">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A0B1FF" w14:textId="77777777" w:rsidR="007617CA" w:rsidRDefault="007617CA" w:rsidP="007617CA">
      <w:pPr>
        <w:spacing w:after="0" w:line="240" w:lineRule="auto"/>
      </w:pPr>
      <w:r>
        <w:separator/>
      </w:r>
    </w:p>
  </w:footnote>
  <w:footnote w:type="continuationSeparator" w:id="0">
    <w:p w14:paraId="2A294908" w14:textId="77777777" w:rsidR="007617CA" w:rsidRDefault="007617CA" w:rsidP="007617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7589DE" w14:textId="77777777" w:rsidR="007617CA" w:rsidRDefault="007617CA">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DBFA2" w14:textId="2E5E18FD" w:rsidR="007617CA" w:rsidRPr="007617CA" w:rsidRDefault="007617CA" w:rsidP="007617CA">
    <w:pPr>
      <w:pStyle w:val="Cabealho"/>
      <w:jc w:val="center"/>
      <w:rPr>
        <w:color w:val="C0C0C0"/>
      </w:rPr>
    </w:pPr>
    <w:r w:rsidRPr="007617CA">
      <w:rPr>
        <w:color w:val="C0C0C0"/>
      </w:rPr>
      <w:t>peticaoemword.com.br</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6B98FC" w14:textId="77777777" w:rsidR="007617CA" w:rsidRDefault="007617CA">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A292A"/>
    <w:rsid w:val="00455D55"/>
    <w:rsid w:val="004E660D"/>
    <w:rsid w:val="005A292A"/>
    <w:rsid w:val="007617C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33D91B"/>
  <w15:chartTrackingRefBased/>
  <w15:docId w15:val="{74ADBE05-DE63-4207-BDB3-03D77F7E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7617C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7617CA"/>
  </w:style>
  <w:style w:type="paragraph" w:styleId="Rodap">
    <w:name w:val="footer"/>
    <w:basedOn w:val="Normal"/>
    <w:link w:val="RodapChar"/>
    <w:uiPriority w:val="99"/>
    <w:unhideWhenUsed/>
    <w:rsid w:val="007617CA"/>
    <w:pPr>
      <w:tabs>
        <w:tab w:val="center" w:pos="4252"/>
        <w:tab w:val="right" w:pos="8504"/>
      </w:tabs>
      <w:spacing w:after="0" w:line="240" w:lineRule="auto"/>
    </w:pPr>
  </w:style>
  <w:style w:type="character" w:customStyle="1" w:styleId="RodapChar">
    <w:name w:val="Rodapé Char"/>
    <w:basedOn w:val="Fontepargpadro"/>
    <w:link w:val="Rodap"/>
    <w:uiPriority w:val="99"/>
    <w:rsid w:val="007617C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78364083">
      <w:bodyDiv w:val="1"/>
      <w:marLeft w:val="0"/>
      <w:marRight w:val="0"/>
      <w:marTop w:val="0"/>
      <w:marBottom w:val="0"/>
      <w:divBdr>
        <w:top w:val="none" w:sz="0" w:space="0" w:color="auto"/>
        <w:left w:val="none" w:sz="0" w:space="0" w:color="auto"/>
        <w:bottom w:val="none" w:sz="0" w:space="0" w:color="auto"/>
        <w:right w:val="none" w:sz="0" w:space="0" w:color="auto"/>
      </w:divBdr>
    </w:div>
    <w:div w:id="6623968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2480</Words>
  <Characters>13398</Characters>
  <Application>Microsoft Office Word</Application>
  <DocSecurity>0</DocSecurity>
  <Lines>111</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cp:keywords/>
  <dc:description/>
  <cp:lastModifiedBy>Anderson Chile</cp:lastModifiedBy>
  <cp:revision>2</cp:revision>
  <dcterms:created xsi:type="dcterms:W3CDTF">2023-11-06T21:04:00Z</dcterms:created>
  <dcterms:modified xsi:type="dcterms:W3CDTF">2023-11-06T21:04:00Z</dcterms:modified>
</cp:coreProperties>
</file>