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EXCELENTÍSSMO(a) SENHOR(a) DOUTOR(a)  DESEMBARGADOR(a) DO TRABALHO PRESIDENTE DO TRIBUNAL REGIONAL DO TRABALHO DA XX</w:t>
      </w:r>
      <w:r w:rsidR="002F6F90" w:rsidRPr="006457D0">
        <w:rPr>
          <w:rFonts w:ascii="Cambria" w:hAnsi="Cambria" w:cs="Helvetica"/>
          <w:b/>
          <w:color w:val="1D2129"/>
        </w:rPr>
        <w:t>ª REGIÃO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 xml:space="preserve">Processo nº: </w:t>
      </w:r>
      <w:r w:rsidR="002F6F90" w:rsidRPr="006457D0">
        <w:rPr>
          <w:rFonts w:ascii="Cambria" w:hAnsi="Cambria" w:cs="Helvetica"/>
          <w:b/>
          <w:color w:val="1D2129"/>
        </w:rPr>
        <w:t>XXXXXXX-XX.20XX.5.XX.XXXX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A7793A" w:rsidP="00A7793A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color w:val="1D2129"/>
        </w:rPr>
        <w:t>XXXXXXXXX XXXXX, brasileiro(a), ESTADO CIVIL, PROFISSÃO, inscrito ao CPF sob nº. XXX.XXX.XXX-XX, e no RG nº. XXXXXXXXXX, domiciliado e residente à Rua XXXXXXXXXXXXXXX, nº. XXX, Bairro XXXXXXX, na cidade de XXXXXXXXXXXX–XX, vem perante Vossa Excelência, por seus procuradores, ut instrumento de mandato anexo, impetrar opresente</w:t>
      </w:r>
    </w:p>
    <w:p w:rsidR="007C7968" w:rsidRPr="006457D0" w:rsidRDefault="007C7968" w:rsidP="00A7793A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center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b/>
          <w:color w:val="1D2129"/>
        </w:rPr>
        <w:t>MANDADO DE SEGURANÇA</w:t>
      </w:r>
      <w:r w:rsidRPr="006457D0">
        <w:rPr>
          <w:rFonts w:ascii="Cambria" w:hAnsi="Cambria" w:cs="Helvetica"/>
          <w:color w:val="1D2129"/>
        </w:rPr>
        <w:br/>
      </w:r>
      <w:r w:rsidRPr="006457D0">
        <w:rPr>
          <w:rFonts w:ascii="Cambria" w:hAnsi="Cambria" w:cs="Helvetica"/>
          <w:color w:val="1D2129"/>
          <w:shd w:val="clear" w:color="auto" w:fill="D9D9D9" w:themeFill="background1" w:themeFillShade="D9"/>
        </w:rPr>
        <w:t>com pedido liminar</w:t>
      </w:r>
    </w:p>
    <w:p w:rsidR="007C7968" w:rsidRPr="006457D0" w:rsidRDefault="007C7968" w:rsidP="00A7793A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contra ato da Exma. Juíza do Trabalho em atividade na XXª Vara do Trabalho de XXXXXXXX proferido nos autos da reclamatória trabalhista que tramita sob o nº xxxxxxxxxxxxxxxx, que determinou a emenda à inicial para adequação de processo distribuído antes da vigência da Lei 13.467/17 aos seus termos, violando direito líquido e certo do impetrante, conforme a seguir se demonstrará, pelas razões que passa a expor: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I - DOS FATOS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Em XX.XX.XX a impetrante ajuizou reclamação trabalhista distribuída para a XX Vara do Trabalho de XXXXXX, autuada sob o número XXXXXXX.</w:t>
      </w:r>
      <w:r w:rsidRPr="006457D0">
        <w:rPr>
          <w:rFonts w:ascii="Cambria" w:hAnsi="Cambria" w:cs="Helvetica"/>
          <w:color w:val="1D2129"/>
        </w:rPr>
        <w:br/>
      </w:r>
    </w:p>
    <w:p w:rsidR="00CC3E7E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 xml:space="preserve">Quando do ajuizamento da reclamação trabalhista a parte autora observou o rigor formal vigente e determinado pelo art. 840 da CLT e da disciplina legal do CPC, a se entender subsidiariamente aplicável ao processo do trabalho. </w:t>
      </w:r>
    </w:p>
    <w:p w:rsidR="00CC3E7E" w:rsidRPr="006457D0" w:rsidRDefault="00CC3E7E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lastRenderedPageBreak/>
        <w:t>Assim, especificamente, ausente previsão legal de indicação de valor do pedido corretamente não informou e muito menos liquidou o pleito da inicial.</w:t>
      </w:r>
    </w:p>
    <w:p w:rsidR="00A342C1" w:rsidRPr="006457D0" w:rsidRDefault="00A342C1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De forma adequada, observando a norma vigente cumpriu ato jurídico processual perfeito.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E para sua surpresa quando da audiência inicial a parte se vê constrangida a ter de emendar a inicial para atribuir valor aos pedidos, violando direito líquido e certo, para, violando a Ordem Constitucional e Legal processual deturpar o devido processo legal no que diz respeito aos quesitos processuais e procedimentais.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A342C1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 xml:space="preserve">A determinação judicial não encontra respaldo em qualquer artigo de lei, tese ou fundamento razoavelmente admissível na ordem processual. </w:t>
      </w:r>
    </w:p>
    <w:p w:rsidR="00A342C1" w:rsidRPr="006457D0" w:rsidRDefault="00A342C1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A342C1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Ao determinar a aplicação de legislação complexa e gravosa para a parte, no que diz respeito a necessidade de liquidar o pedido – e não de indicar valores como expressa a norma – comete ato ilícito que penalizará gravemente a parte autora. Ato judicial que como se reputa ilícito deve ser pronta</w:t>
      </w:r>
      <w:r w:rsidR="00A342C1" w:rsidRPr="006457D0">
        <w:rPr>
          <w:rFonts w:ascii="Cambria" w:hAnsi="Cambria" w:cs="Helvetica"/>
          <w:color w:val="1D2129"/>
        </w:rPr>
        <w:t>mente corrigido, eis que ilegal.</w:t>
      </w:r>
    </w:p>
    <w:p w:rsidR="00A342C1" w:rsidRPr="006457D0" w:rsidRDefault="00A342C1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 matéria da vigência das normas legais, está regulada em nosso ordenamento jurídico, na Lei 12376/2010 e que estabelece: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i/>
          <w:color w:val="1D2129"/>
        </w:rPr>
      </w:pPr>
      <w:r w:rsidRPr="006457D0">
        <w:rPr>
          <w:rFonts w:ascii="Cambria" w:hAnsi="Cambria" w:cs="Helvetica"/>
          <w:i/>
          <w:color w:val="1D2129"/>
        </w:rPr>
        <w:t>“Art. 6º A Lei em vigor terá efeito imediato e geral, respeitados o ato jurídico perfeito, o direito adquirido e a coisa julgada.“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i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 regra em que nosso ordenamento se baseia é de que a norma não poderá retroagir, ou seja, a lei nova não será aplicada às situações constituídas sobre a vigência da lei revogada ou modificada (princípio da irretroatividade). Não bastasse, a Constituição Federal estabelece o mesmo princípio, baseado na segurança jurídica: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b/>
          <w:i/>
          <w:color w:val="1D2129"/>
        </w:rPr>
      </w:pPr>
      <w:r w:rsidRPr="006457D0">
        <w:rPr>
          <w:rFonts w:ascii="Cambria" w:hAnsi="Cambria" w:cs="Helvetica"/>
          <w:b/>
          <w:i/>
          <w:color w:val="1D2129"/>
        </w:rPr>
        <w:lastRenderedPageBreak/>
        <w:t>Art. 5º- Inciso XXXVI: a lei não prejudicará o direito adquirido , o ato jurídico perfeito e a coisa julgada.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É razão de ser da ordem constitucional o princípio básico da irretroatividade das normas legais e que a decisão de emenda não observa e viola.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De forma geral é sabido que o Brasil adotou a teoria de isolamento dos atos processuais (art. 14 do CPC), de modo que a legislação processual nova DEVE observar o atendimento das prescrições legais de quando vigente a interposição da ação trabalhista subjacente, ou seja, é ilegal e inconstitucional evocar aplicação de lei federal posterior ao ajuizamento de ação trabalhista que observou, corretamente, o regramento processual então vigente.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 decisão judicial merece reparo imediato na medida em que subverte o devido processo legal e viola toda a principiologia invocada, especialmente a segurança jurídica.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Por se tratar de decisão liminar que não tem previsão de recurso com efeito imediato é o mandado de segurança, com pedido liminar, o remédio processual adequado para a correção do ato processual do julgador, afastando a determinação de liquidação ou indicação de valores, o que se requer.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color w:val="1D2129"/>
        </w:rPr>
        <w:br/>
      </w:r>
      <w:r w:rsidRPr="006457D0">
        <w:rPr>
          <w:rFonts w:ascii="Cambria" w:hAnsi="Cambria" w:cs="Helvetica"/>
          <w:b/>
          <w:color w:val="1D2129"/>
        </w:rPr>
        <w:t>II - DO CABIMENTO DO MANDADO DE SEGURANÇA: da liquidez e certeza do direito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Dispõe o artigo 5º, inciso LXIX, da Constituição Federal: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1416"/>
        <w:jc w:val="both"/>
        <w:rPr>
          <w:rFonts w:ascii="Cambria" w:hAnsi="Cambria" w:cs="Helvetica"/>
          <w:i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1416"/>
        <w:jc w:val="both"/>
        <w:rPr>
          <w:rFonts w:ascii="Cambria" w:hAnsi="Cambria" w:cs="Helvetica"/>
          <w:i/>
          <w:color w:val="1D2129"/>
        </w:rPr>
      </w:pPr>
      <w:r w:rsidRPr="006457D0">
        <w:rPr>
          <w:rFonts w:ascii="Cambria" w:hAnsi="Cambria" w:cs="Helvetica"/>
          <w:i/>
          <w:color w:val="1D2129"/>
        </w:rPr>
        <w:t>"conceder-se-á mandado de segurança para proteger direito líquido e certo, não amparado por "habeas corpus" ou "habeas data", quando o responsável pela ilegalidade ou abuso do poder for autoridade pública ou agente de pessoa jurídica no exercício de atribuições do Poder Público;"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Da ilegal determinação da juíza coatora não cabe qualquer espécie de recurso com efeito imediato, nos termos do enunciado da Súmula 214 do c. TST.</w:t>
      </w:r>
      <w:r w:rsidRPr="006457D0">
        <w:rPr>
          <w:rFonts w:ascii="Cambria" w:hAnsi="Cambria" w:cs="Helvetica"/>
          <w:color w:val="1D2129"/>
        </w:rPr>
        <w:br/>
        <w:t>A presente ação mandamental visa justamente afastar ato ilícito que exorbita os limites da legalidade.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br/>
        <w:t xml:space="preserve">A liquidez do direito do impetrante, assim como sua certeza, igualmente são incontestáveis, </w:t>
      </w:r>
      <w:r w:rsidRPr="006457D0">
        <w:rPr>
          <w:rFonts w:ascii="Cambria" w:hAnsi="Cambria" w:cs="Helvetica"/>
          <w:i/>
          <w:color w:val="1D2129"/>
        </w:rPr>
        <w:t>"in casu"</w:t>
      </w:r>
      <w:r w:rsidRPr="006457D0">
        <w:rPr>
          <w:rFonts w:ascii="Cambria" w:hAnsi="Cambria" w:cs="Helvetica"/>
          <w:color w:val="1D2129"/>
        </w:rPr>
        <w:t>, pois inquestionável que a decisão judicial determina aplicação de lei processual não vigente quando do ajuizamento da ação. </w:t>
      </w:r>
      <w:r w:rsidRPr="006457D0">
        <w:rPr>
          <w:rFonts w:ascii="Cambria" w:hAnsi="Cambria" w:cs="Helvetica"/>
          <w:color w:val="1D2129"/>
        </w:rPr>
        <w:br/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E assim, para estabelecer um devido processo legal, democrático e transparente é que se pretende a correção via mandamental do ato ilegal.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III - DO CABIMENTO DO MANDADO DE SEGURANÇA: do perigo na concessão da medida.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 demora para a concessão da medida importa em notórios prejuízos de ordem material e processual a parte autora, notadamente, a atribuição de risco e responsabilidade que não era esperado e previsto na legislação processual anterior..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IV. DA CONCESSÃO LIMINAR DA SEGURANÇA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O prosseguimento do feito, sem a concessão de antecipação de tutela, nos autos principais poderá acarretar prejuízo irreparável ao impetrante.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Por isso, o atendimento do pedido do impetrante, em caráter liminar, se afeiçoa indispensável, tendo por base a autorização legal do artigo 7º da Lei 1.533/51 que assim determina: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i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ind w:left="2124"/>
        <w:jc w:val="both"/>
        <w:rPr>
          <w:rFonts w:ascii="Cambria" w:hAnsi="Cambria" w:cs="Helvetica"/>
          <w:i/>
          <w:color w:val="1D2129"/>
        </w:rPr>
      </w:pPr>
      <w:r w:rsidRPr="006457D0">
        <w:rPr>
          <w:rFonts w:ascii="Cambria" w:hAnsi="Cambria" w:cs="Helvetica"/>
          <w:i/>
          <w:color w:val="1D2129"/>
        </w:rPr>
        <w:t>"Art. 7º. Ao despachar a inicial o juiz ordenará:</w:t>
      </w:r>
      <w:r w:rsidRPr="006457D0">
        <w:rPr>
          <w:rFonts w:ascii="Cambria" w:hAnsi="Cambria" w:cs="Helvetica"/>
          <w:i/>
          <w:color w:val="1D2129"/>
        </w:rPr>
        <w:br/>
        <w:t>II - que se suspenda o ato que deu motivo ao pedido quando for relevante o fundamento e do ato impugnado puder resultar a ineficácia da medida caso seja deferida."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Presentes os requisitos do necessários, impõe-se a concessão liminar da segurança para seja reformada a decisão que determina a emenda da petição inicial para seja afastada de plano tal decisão e, regularmente processado o feito, sem a indicação de valores ou liquidação dos pedidos.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V) DO PEDIDO LIMINAR URGENTE: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i/>
          <w:color w:val="1D2129"/>
        </w:rPr>
        <w:t>Ex positis</w:t>
      </w:r>
      <w:r w:rsidRPr="006457D0">
        <w:rPr>
          <w:rFonts w:ascii="Cambria" w:hAnsi="Cambria" w:cs="Helvetica"/>
          <w:color w:val="1D2129"/>
        </w:rPr>
        <w:t>, requer, em caráter liminar: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a) Seja deferida imediatamente a antecipação de tutela, determinando-se com urgência em primeira ordem a reforma da decisão que determina a emenda da petição inicial com indicação de valores ou liquidação dos pedidos, e;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b) Seja determinada expedição de ofício à AUTORIDADE COATORA, para que preste as informações de praxe, no prazo legal.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b/>
          <w:color w:val="1D2129"/>
        </w:rPr>
      </w:pPr>
      <w:r w:rsidRPr="006457D0">
        <w:rPr>
          <w:rFonts w:ascii="Cambria" w:hAnsi="Cambria" w:cs="Helvetica"/>
          <w:b/>
          <w:color w:val="1D2129"/>
        </w:rPr>
        <w:t>VI. DOS REQUERIMENTOS: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O impetrante, por seu advogado, declara – sob pena de responsabilidade pessoal –, a autenticidade das cópias reprográficas extraídas da ação trabalhista xxxxxxxxxxxxxxxxxxxxx nos termos do art. 830 da CLT.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Requer, ainda, a concessão do benefício de gratuidade da justiça.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REQUER, ao final, que a Colenda SDI conceda a segurança impetrada, nos seguintes termos: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a) Seja deferida a antecipação de tutela, determinando-se em primeira ordem, a intervenção deste MM. Juízo a intervenção deste MM. Juízo para, a reforma da decisão que determina a emenda da petição inicial com indicação de valores ou liquidação dos pedidos;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b) Seja determinada expedição de ofício à AUTORIDADE COATORA, para que preste as informações de praxe, no prazo legal.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REQUER, ainda, seja o litisconsorte necessário XXXXXXXXXXXXXXXXXXX, notificado no endereço a seguir informado para, querendo, apresentar manifestação.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  <w:r w:rsidRPr="006457D0">
        <w:rPr>
          <w:rFonts w:ascii="Cambria" w:hAnsi="Cambria" w:cs="Helvetica"/>
          <w:color w:val="1D2129"/>
        </w:rPr>
        <w:t>Por derradeiro, ante os termos do art. 83 da Lei Complementar nº 75/93 requer a intimação do Ministério Público do Trabalho.</w:t>
      </w:r>
    </w:p>
    <w:p w:rsidR="007C7968" w:rsidRPr="006457D0" w:rsidRDefault="007C7968" w:rsidP="007C7968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Helvetica"/>
          <w:color w:val="1D2129"/>
        </w:rPr>
      </w:pP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  <w:r w:rsidRPr="006457D0">
        <w:rPr>
          <w:rFonts w:ascii="Cambria" w:hAnsi="Cambria"/>
        </w:rPr>
        <w:t>Atribui à causa, provisoriamente, o valor de R$ 1.000,00</w:t>
      </w: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  <w:r w:rsidRPr="006457D0">
        <w:rPr>
          <w:rFonts w:ascii="Cambria" w:hAnsi="Cambria"/>
        </w:rPr>
        <w:t>Termos em que pede e espera deferimento.</w:t>
      </w: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  <w:r w:rsidRPr="006457D0">
        <w:rPr>
          <w:rFonts w:ascii="Cambria" w:hAnsi="Cambria"/>
        </w:rPr>
        <w:t>XXXXXX/XX, XX de novembro de 20XX.</w:t>
      </w: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  <w:r w:rsidRPr="006457D0">
        <w:rPr>
          <w:rFonts w:ascii="Cambria" w:hAnsi="Cambria"/>
        </w:rPr>
        <w:br/>
        <w:t>XXXXXXX XXXXXXX</w:t>
      </w:r>
    </w:p>
    <w:p w:rsidR="007C7968" w:rsidRPr="006457D0" w:rsidRDefault="007C7968" w:rsidP="007C7968">
      <w:pPr>
        <w:spacing w:after="0"/>
        <w:contextualSpacing/>
        <w:jc w:val="center"/>
        <w:rPr>
          <w:rFonts w:ascii="Cambria" w:hAnsi="Cambria"/>
        </w:rPr>
      </w:pPr>
      <w:r w:rsidRPr="006457D0">
        <w:rPr>
          <w:rFonts w:ascii="Cambria" w:hAnsi="Cambria"/>
        </w:rPr>
        <w:t>OAB/XX nº. XX.XXX</w:t>
      </w:r>
    </w:p>
    <w:p w:rsidR="001B064D" w:rsidRPr="006457D0" w:rsidRDefault="001B064D" w:rsidP="007C7968">
      <w:pPr>
        <w:spacing w:after="0"/>
        <w:jc w:val="both"/>
        <w:rPr>
          <w:rFonts w:ascii="Cambria" w:hAnsi="Cambria"/>
        </w:rPr>
      </w:pPr>
    </w:p>
    <w:sectPr w:rsidR="001B064D" w:rsidRPr="006457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57D0" w:rsidRDefault="006457D0" w:rsidP="006457D0">
      <w:pPr>
        <w:spacing w:after="0" w:line="240" w:lineRule="auto"/>
      </w:pPr>
      <w:r>
        <w:separator/>
      </w:r>
    </w:p>
  </w:endnote>
  <w:endnote w:type="continuationSeparator" w:id="0">
    <w:p w:rsidR="006457D0" w:rsidRDefault="006457D0" w:rsidP="0064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Default="006457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Pr="006457D0" w:rsidRDefault="006457D0" w:rsidP="006457D0">
    <w:pPr>
      <w:pStyle w:val="Rodap"/>
      <w:jc w:val="center"/>
      <w:rPr>
        <w:color w:val="C0C0C0"/>
      </w:rPr>
    </w:pPr>
    <w:r w:rsidRPr="006457D0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Default="006457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57D0" w:rsidRDefault="006457D0" w:rsidP="006457D0">
      <w:pPr>
        <w:spacing w:after="0" w:line="240" w:lineRule="auto"/>
      </w:pPr>
      <w:r>
        <w:separator/>
      </w:r>
    </w:p>
  </w:footnote>
  <w:footnote w:type="continuationSeparator" w:id="0">
    <w:p w:rsidR="006457D0" w:rsidRDefault="006457D0" w:rsidP="00645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Default="006457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Pr="006457D0" w:rsidRDefault="006457D0" w:rsidP="006457D0">
    <w:pPr>
      <w:pStyle w:val="Cabealho"/>
      <w:jc w:val="center"/>
      <w:rPr>
        <w:color w:val="C0C0C0"/>
      </w:rPr>
    </w:pPr>
    <w:r w:rsidRPr="006457D0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57D0" w:rsidRDefault="006457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7968"/>
    <w:rsid w:val="001B064D"/>
    <w:rsid w:val="002F6F90"/>
    <w:rsid w:val="006457D0"/>
    <w:rsid w:val="007C7968"/>
    <w:rsid w:val="00A342C1"/>
    <w:rsid w:val="00A7793A"/>
    <w:rsid w:val="00B12EA1"/>
    <w:rsid w:val="00CC3E7E"/>
    <w:rsid w:val="00F4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7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457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57D0"/>
  </w:style>
  <w:style w:type="paragraph" w:styleId="Rodap">
    <w:name w:val="footer"/>
    <w:basedOn w:val="Normal"/>
    <w:link w:val="RodapChar"/>
    <w:uiPriority w:val="99"/>
    <w:unhideWhenUsed/>
    <w:rsid w:val="006457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5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D8347-0325-4BE3-8168-F24C288B9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1240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 Trabalhista</dc:creator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