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rPr>
          <w:b/>
          <w:color w:val="1F4E79"/>
          <w:sz w:val="20"/>
        </w:rPr>
        <w:t>MODELO NACIONAL DE DENÚNCIA AO MPT</w:t>
      </w:r>
    </w:p>
    <w:p>
      <w:pPr>
        <w:pStyle w:val="Title"/>
        <w:jc w:val="center"/>
      </w:pPr>
      <w:r>
        <w:t>Modelo Nacional de Representação ao MPT</w:t>
      </w:r>
    </w:p>
    <w:p>
      <w:pPr>
        <w:jc w:val="center"/>
      </w:pPr>
      <w:r>
        <w:rPr>
          <w:b/>
          <w:sz w:val="24"/>
        </w:rPr>
        <w:t>Possíveis irregularidades no processo de informação, discussão e deliberação coletiva em assembleias de aprovação de CCT ou ACT</w:t>
      </w:r>
    </w:p>
    <w:p>
      <w:pPr>
        <w:jc w:val="center"/>
      </w:pPr>
      <w:r>
        <w:rPr>
          <w:b/>
          <w:color w:val="5A5A5A"/>
          <w:sz w:val="18"/>
        </w:rPr>
        <w:t>VERSÃO EDITÁVEL • 2026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6F8"/>
            <w:tcBorders>
              <w:top w:val="single" w:sz="4" w:color="7F8C8D"/>
              <w:left w:val="single" w:sz="4" w:color="7F8C8D"/>
              <w:bottom w:val="single" w:sz="4" w:color="7F8C8D"/>
              <w:right w:val="single" w:sz="4" w:color="7F8C8D"/>
              <w:insideH w:val="single" w:sz="4" w:color="7F8C8D"/>
              <w:insideV w:val="single" w:sz="4" w:color="7F8C8D"/>
            </w:tcBorders>
            <w:vAlign w:val="center"/>
          </w:tcPr>
          <w:p>
            <w:pPr>
              <w:pStyle w:val="Heading2"/>
            </w:pPr>
            <w:r>
              <w:t>Como usar este modelo</w:t>
            </w:r>
          </w:p>
          <w:p>
            <w:r>
              <w:t xml:space="preserve"> Substitua todos os campos entre colchetes pelas informações do seu caso e exclua os trechos que não se aplicarem. </w:t>
            </w:r>
          </w:p>
          <w:p>
            <w:r>
              <w:t xml:space="preserve"> Não afirme que determinada proposta, minuta ou documento existia se você não possui elementos para sustentar essa afirmação. </w:t>
            </w:r>
          </w:p>
          <w:p>
            <w:r>
              <w:t xml:space="preserve"> Numere os documentos anexados e, sempre que possível, organize-os em ordem cronológica. </w:t>
            </w:r>
          </w:p>
          <w:p>
            <w:r>
              <w:t xml:space="preserve"> Este modelo não pressupõe ilegalidade, nulidade, fraude ou má-fé. Seu objetivo é apresentar fatos concretos para análise do Ministério Público do Trabalho. </w:t>
            </w:r>
          </w:p>
        </w:tc>
      </w:tr>
    </w:tbl>
    <w:p>
      <w:pPr>
        <w:spacing w:after="20"/>
      </w:pPr>
    </w:p>
    <w:p>
      <w:pPr>
        <w:jc w:val="left"/>
      </w:pPr>
      <w:r>
        <w:rPr>
          <w:b/>
          <w:sz w:val="20"/>
        </w:rPr>
        <w:t xml:space="preserve"> AO MINISTÉRIO PÚBLICO DO TRABALHO</w:t>
      </w:r>
      <w:r>
        <w:rPr>
          <w:b/>
          <w:sz w:val="20"/>
        </w:rPr>
        <w:br/>
      </w:r>
      <w:r>
        <w:rPr>
          <w:b/>
          <w:sz w:val="20"/>
        </w:rPr>
        <w:t xml:space="preserve"> PROCURADORIA REGIONAL DO TRABALHO DA </w:t>
      </w:r>
      <w:r>
        <w:rPr>
          <w:rStyle w:val="Placeholder"/>
          <w:b/>
          <w:sz w:val="20"/>
        </w:rPr>
        <w:t>[___ª REGIÃO]</w:t>
      </w:r>
    </w:p>
    <w:p>
      <w:r>
        <w:rPr>
          <w:b/>
        </w:rPr>
        <w:t>Assunto:</w:t>
      </w:r>
      <w:r>
        <w:t xml:space="preserve"> Liberdade sindical — possíveis irregularidades em assembleia sindical e no processo de informação, discussão e deliberação de proposta coletiva. </w:t>
      </w:r>
    </w:p>
    <w:p>
      <w:pPr>
        <w:pStyle w:val="Title"/>
        <w:jc w:val="center"/>
      </w:pPr>
      <w:r>
        <w:rPr>
          <w:sz w:val="32"/>
        </w:rPr>
        <w:t xml:space="preserve"> Notícia de Fato / Representação </w:t>
      </w:r>
    </w:p>
    <w:p>
      <w:pPr>
        <w:jc w:val="center"/>
      </w:pPr>
      <w:r>
        <w:rPr>
          <w:b/>
        </w:rPr>
        <w:t xml:space="preserve"> Possíveis irregularidades no processo de formação da vontade coletiva em assembleia de aprovação de Convenção ou Acordo Coletivo de Trabalho </w:t>
      </w:r>
    </w:p>
    <w:p>
      <w:r>
        <w:t>REPRESENTANTE:</w:t>
      </w:r>
      <w:r>
        <w:rPr>
          <w:rStyle w:val="Placeholder"/>
        </w:rPr>
        <w:t>[NOME]</w:t>
      </w:r>
    </w:p>
    <w:p>
      <w:r>
        <w:t>CPF, se solicitado:</w:t>
      </w:r>
      <w:r>
        <w:rPr>
          <w:rStyle w:val="Placeholder"/>
        </w:rPr>
        <w:t>[CPF]</w:t>
      </w:r>
    </w:p>
    <w:p>
      <w:r>
        <w:t>E-mail:</w:t>
      </w:r>
      <w:r>
        <w:rPr>
          <w:rStyle w:val="Placeholder"/>
        </w:rPr>
        <w:t>[E-MAIL]</w:t>
      </w:r>
    </w:p>
    <w:p>
      <w:r>
        <w:t>Telefone:</w:t>
      </w:r>
      <w:r>
        <w:rPr>
          <w:rStyle w:val="Placeholder"/>
        </w:rPr>
        <w:t>[TELEFONE]</w:t>
      </w:r>
    </w:p>
    <w:p>
      <w:r>
        <w:t>Cidade/UF:</w:t>
      </w:r>
      <w:r>
        <w:rPr>
          <w:rStyle w:val="Placeholder"/>
        </w:rPr>
        <w:t>[CIDADE/UF]</w:t>
      </w:r>
    </w:p>
    <w:p>
      <w:r>
        <w:t>Empregador:</w:t>
      </w:r>
      <w:r>
        <w:rPr>
          <w:rStyle w:val="Placeholder"/>
        </w:rPr>
        <w:t>[BANCO/EMPRESA]</w:t>
      </w:r>
    </w:p>
    <w:p>
      <w:r>
        <w:t>ENTIDADE SINDICAL MENCIONADA:</w:t>
      </w:r>
      <w:r>
        <w:rPr>
          <w:rStyle w:val="Placeholder"/>
        </w:rPr>
        <w:t>[NOME COMPLETO]</w:t>
      </w:r>
    </w:p>
    <w:p>
      <w:r>
        <w:t>CNPJ:</w:t>
      </w:r>
      <w:r>
        <w:rPr>
          <w:rStyle w:val="Placeholder"/>
        </w:rPr>
        <w:t>[CNPJ]</w:t>
      </w:r>
    </w:p>
    <w:p>
      <w:r>
        <w:t>Endereço:</w:t>
      </w:r>
      <w:r>
        <w:rPr>
          <w:rStyle w:val="Placeholder"/>
        </w:rPr>
        <w:t>[ENDEREÇO]</w:t>
      </w:r>
    </w:p>
    <w:p>
      <w:r>
        <w:t>Base territorial:</w:t>
      </w:r>
      <w:r>
        <w:rPr>
          <w:rStyle w:val="Placeholder"/>
        </w:rPr>
        <w:t>[BASE TERRITORIAL]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6F8"/>
            <w:tcBorders>
              <w:top w:val="single" w:sz="4" w:color="C7D3DB"/>
              <w:left w:val="single" w:sz="4" w:color="C7D3DB"/>
              <w:bottom w:val="single" w:sz="4" w:color="C7D3DB"/>
              <w:right w:val="single" w:sz="4" w:color="C7D3DB"/>
              <w:insideH w:val="single" w:sz="4" w:color="C7D3DB"/>
              <w:insideV w:val="single" w:sz="4" w:color="C7D3DB"/>
            </w:tcBorders>
            <w:vAlign w:val="center"/>
          </w:tcPr>
          <w:p>
            <w:r>
              <w:rPr>
                <w:b/>
              </w:rPr>
              <w:t>Pedido opcional de confidencialidade:</w:t>
            </w:r>
          </w:p>
          <w:p>
            <w:r>
              <w:t xml:space="preserve"> O/A representante requer, nos limites admitidos pelo Ministério Público do Trabalho e pela legislação aplicável, a preservação da confidencialidade de sua identidade, especialmente diante de eventual risco de exposição ou retaliação. </w:t>
            </w:r>
          </w:p>
          <w:p>
            <w:r>
              <w:rPr>
                <w:b/>
              </w:rPr>
              <w:t>Se não desejar formular esse pedido, exclua este bloco.</w:t>
            </w:r>
          </w:p>
        </w:tc>
      </w:tr>
    </w:tbl>
    <w:p>
      <w:pPr>
        <w:spacing w:after="20"/>
      </w:pPr>
    </w:p>
    <w:p>
      <w:pPr>
        <w:pStyle w:val="Heading1"/>
      </w:pPr>
      <w:r>
        <w:t>I — DO OBJETO DA REPRESENTAÇÃO</w:t>
      </w:r>
    </w:p>
    <w:p>
      <w:r>
        <w:t xml:space="preserve"> A presente representação tem por objetivo submeter ao Ministério Público do Trabalho fatos relacionados ao processo de informação, discussão e deliberação coletiva ocorrido durante </w:t>
      </w:r>
      <w:r>
        <w:rPr>
          <w:rStyle w:val="Placeholder"/>
        </w:rPr>
        <w:t>[IDENTIFICAR A NEGOCIAÇÃO/CAMPANHA SALARIAL]</w:t>
      </w:r>
      <w:r>
        <w:t xml:space="preserve">, especialmente em relação à assembleia realizada em </w:t>
      </w:r>
      <w:r>
        <w:rPr>
          <w:rStyle w:val="Placeholder"/>
        </w:rPr>
        <w:t>[DATA]</w:t>
      </w:r>
      <w:r>
        <w:t xml:space="preserve">. </w:t>
      </w:r>
    </w:p>
    <w:p>
      <w:r>
        <w:t xml:space="preserve"> Não se sustenta, nesta representação, a existência de regra legal geral que imponha a disponibilização da íntegra de toda proposta ou minuta com antecedência fixa de 24, 48 horas ou qualquer outro prazo não previsto expressamente no ordenamento. </w:t>
      </w:r>
    </w:p>
    <w:p>
      <w:r>
        <w:t xml:space="preserve"> Tampouco se pretende afirmar, de maneira automática, a nulidade da assembleia ou do instrumento coletivo. </w:t>
      </w:r>
    </w:p>
    <w:p>
      <w:r>
        <w:t xml:space="preserve"> O que se requer é a investigação das circunstâncias concretas em que se formou a decisão atribuída à categoria, especialmente: </w:t>
      </w:r>
    </w:p>
    <w:p>
      <w:pPr>
        <w:pStyle w:val="ListBullet"/>
      </w:pPr>
      <w:r>
        <w:t xml:space="preserve"> quais propostas, minutas ou documentos existiam no momento da deliberação; </w:t>
      </w:r>
    </w:p>
    <w:p>
      <w:pPr>
        <w:pStyle w:val="ListBullet"/>
      </w:pPr>
      <w:r>
        <w:t xml:space="preserve"> quais desses documentos estavam em poder da entidade sindical; </w:t>
      </w:r>
    </w:p>
    <w:p>
      <w:pPr>
        <w:pStyle w:val="ListBullet"/>
      </w:pPr>
      <w:r>
        <w:t xml:space="preserve"> quais informações foram efetivamente disponibilizadas aos trabalhadores; </w:t>
      </w:r>
    </w:p>
    <w:p>
      <w:pPr>
        <w:pStyle w:val="ListBullet"/>
      </w:pPr>
      <w:r>
        <w:t xml:space="preserve"> qual era exatamente o objeto submetido à votação; </w:t>
      </w:r>
    </w:p>
    <w:p>
      <w:pPr>
        <w:pStyle w:val="ListBullet"/>
      </w:pPr>
      <w:r>
        <w:t xml:space="preserve"> se houve condições efetivas de conhecimento, discussão, questionamento e deliberação sobre esse objeto. </w:t>
      </w:r>
    </w:p>
    <w:p>
      <w:r>
        <w:t xml:space="preserve"> Não se pretende que o Ministério Público do Trabalho substitua a decisão política da categoria, mas que investigue se a decisão formalmente atribuída aos trabalhadores foi formada em condições compatíveis com a deliberação coletiva juridicamente exigível no caso concreto. </w:t>
      </w:r>
    </w:p>
    <w:p>
      <w:pPr>
        <w:pStyle w:val="Heading1"/>
      </w:pPr>
      <w:r>
        <w:t>II — DOS FATOS</w:t>
      </w:r>
    </w:p>
    <w:p>
      <w:r>
        <w:t xml:space="preserve"> A entidade </w:t>
      </w:r>
      <w:r>
        <w:rPr>
          <w:rStyle w:val="Placeholder"/>
        </w:rPr>
        <w:t>[NOME DA ENTIDADE SINDICAL]</w:t>
      </w:r>
      <w:r>
        <w:t xml:space="preserve"> convocou os trabalhadores para assembleia destinada a </w:t>
      </w:r>
      <w:r>
        <w:rPr>
          <w:rStyle w:val="Placeholder"/>
        </w:rPr>
        <w:t>[DESCREVER EXATAMENTE A PAUTA]</w:t>
      </w:r>
      <w:r>
        <w:t xml:space="preserve">. </w:t>
      </w:r>
    </w:p>
    <w:p>
      <w:r>
        <w:t xml:space="preserve"> Conforme o edital/comunicado anexado como Documento </w:t>
      </w:r>
      <w:r>
        <w:rPr>
          <w:rStyle w:val="Placeholder"/>
        </w:rPr>
        <w:t>[NÚMERO]</w:t>
      </w:r>
      <w:r>
        <w:t xml:space="preserve">, a assembleia foi convocada para </w:t>
      </w:r>
      <w:r>
        <w:rPr>
          <w:rStyle w:val="Placeholder"/>
        </w:rPr>
        <w:t>[DATA]</w:t>
      </w:r>
      <w:r>
        <w:t xml:space="preserve">, na modalidade </w:t>
      </w:r>
      <w:r>
        <w:rPr>
          <w:rStyle w:val="Placeholder"/>
        </w:rPr>
        <w:t>[PRESENCIAL / VIRTUAL / HÍBRIDA]</w:t>
      </w:r>
      <w:r>
        <w:t xml:space="preserve">. </w:t>
      </w:r>
    </w:p>
    <w:p>
      <w:r>
        <w:t xml:space="preserve"> A votação ocorreu por meio de </w:t>
      </w:r>
      <w:r>
        <w:rPr>
          <w:rStyle w:val="Placeholder"/>
        </w:rPr>
        <w:t>[PLATAFORMA/LOCAL]</w:t>
      </w:r>
      <w:r>
        <w:t xml:space="preserve">, com início em </w:t>
      </w:r>
      <w:r>
        <w:rPr>
          <w:rStyle w:val="Placeholder"/>
        </w:rPr>
        <w:t>[DATA/HORA]</w:t>
      </w:r>
      <w:r>
        <w:t xml:space="preserve"> e encerramento em </w:t>
      </w:r>
      <w:r>
        <w:rPr>
          <w:rStyle w:val="Placeholder"/>
        </w:rPr>
        <w:t>[DATA/HORA]</w:t>
      </w:r>
      <w:r>
        <w:t xml:space="preserve">. </w:t>
      </w:r>
    </w:p>
    <w:p>
      <w:r>
        <w:t xml:space="preserve"> A pergunta submetida aos trabalhadores foi apresentada nos seguintes termos: 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6F8"/>
            <w:tcBorders>
              <w:top w:val="single" w:sz="4" w:color="C7D3DB"/>
              <w:left w:val="single" w:sz="4" w:color="C7D3DB"/>
              <w:bottom w:val="single" w:sz="4" w:color="C7D3DB"/>
              <w:right w:val="single" w:sz="4" w:color="C7D3DB"/>
              <w:insideH w:val="single" w:sz="4" w:color="C7D3DB"/>
              <w:insideV w:val="single" w:sz="4" w:color="C7D3DB"/>
            </w:tcBorders>
            <w:vAlign w:val="center"/>
          </w:tcPr>
          <w:p>
            <w:r>
              <w:t>[TRANSCREVER EXATAMENTE A PERGUNTA DA VOTAÇÃO]</w:t>
            </w:r>
          </w:p>
        </w:tc>
      </w:tr>
    </w:tbl>
    <w:p>
      <w:pPr>
        <w:spacing w:after="20"/>
      </w:pPr>
    </w:p>
    <w:p>
      <w:r>
        <w:t xml:space="preserve"> O resultado divulgado foi: </w:t>
      </w:r>
      <w:r>
        <w:rPr>
          <w:rStyle w:val="Placeholder"/>
        </w:rPr>
        <w:t>[DESCREVER O RESULTADO, SE CONHECIDO]</w:t>
      </w:r>
      <w:r>
        <w:t xml:space="preserve">. </w:t>
      </w:r>
    </w:p>
    <w:p>
      <w:pPr>
        <w:pStyle w:val="Heading1"/>
      </w:pPr>
      <w:r>
        <w:t>III — DAS INFORMAÇÕES DISPONIBILIZADAS À CATEGORIA</w:t>
      </w:r>
    </w:p>
    <w:p>
      <w:r>
        <w:t xml:space="preserve"> Antes e/ou durante a votação, foram disponibilizados aos trabalhadores os seguintes materiais: </w:t>
      </w:r>
    </w:p>
    <w:p>
      <w:pPr>
        <w:pStyle w:val="ListBullet"/>
      </w:pPr>
      <w:r>
        <w:rPr>
          <w:rStyle w:val="Placeholder"/>
        </w:rPr>
        <w:t>[RESUMO / BOLETIM / CARD]</w:t>
      </w:r>
      <w:r>
        <w:t>;</w:t>
      </w:r>
    </w:p>
    <w:p>
      <w:pPr>
        <w:pStyle w:val="ListBullet"/>
      </w:pPr>
      <w:r>
        <w:rPr>
          <w:rStyle w:val="Placeholder"/>
        </w:rPr>
        <w:t>[APRESENTAÇÃO / TABELA]</w:t>
      </w:r>
      <w:r>
        <w:t>;</w:t>
      </w:r>
    </w:p>
    <w:p>
      <w:pPr>
        <w:pStyle w:val="ListBullet"/>
      </w:pPr>
      <w:r>
        <w:rPr>
          <w:rStyle w:val="Placeholder"/>
        </w:rPr>
        <w:t>[LIVE / VÍDEO / PLENÁRIA]</w:t>
      </w:r>
      <w:r>
        <w:t>;</w:t>
      </w:r>
    </w:p>
    <w:p>
      <w:pPr>
        <w:pStyle w:val="ListBullet"/>
      </w:pPr>
      <w:r>
        <w:rPr>
          <w:rStyle w:val="Placeholder"/>
        </w:rPr>
        <w:t>[PROPOSTA ESCRITA]</w:t>
      </w:r>
      <w:r>
        <w:t>;</w:t>
      </w:r>
    </w:p>
    <w:p>
      <w:pPr>
        <w:pStyle w:val="ListBullet"/>
      </w:pPr>
      <w:r>
        <w:rPr>
          <w:rStyle w:val="Placeholder"/>
        </w:rPr>
        <w:t>[MINUTA, SE HOUVE]</w:t>
      </w:r>
      <w:r>
        <w:t>;</w:t>
      </w:r>
    </w:p>
    <w:p>
      <w:pPr>
        <w:pStyle w:val="ListBullet"/>
      </w:pPr>
      <w:r>
        <w:rPr>
          <w:rStyle w:val="Placeholder"/>
        </w:rPr>
        <w:t>[OUTROS DOCUMENTOS]</w:t>
      </w:r>
      <w:r>
        <w:t>.</w:t>
      </w:r>
    </w:p>
    <w:p>
      <w:r>
        <w:t xml:space="preserve"> Os materiais estão anexados como Documentos </w:t>
      </w:r>
      <w:r>
        <w:rPr>
          <w:rStyle w:val="Placeholder"/>
        </w:rPr>
        <w:t>[INDICAR]</w:t>
      </w:r>
      <w:r>
        <w:t xml:space="preserve">. </w:t>
      </w:r>
    </w:p>
    <w:p>
      <w:pPr>
        <w:pStyle w:val="Heading2"/>
      </w:pPr>
      <w:r>
        <w:t>Se houve plenária ou espaço de discussão</w:t>
      </w:r>
    </w:p>
    <w:p>
      <w:r>
        <w:t xml:space="preserve"> Em </w:t>
      </w:r>
      <w:r>
        <w:rPr>
          <w:rStyle w:val="Placeholder"/>
        </w:rPr>
        <w:t>[DATA/HORA]</w:t>
      </w:r>
      <w:r>
        <w:t xml:space="preserve">, foi realizada </w:t>
      </w:r>
      <w:r>
        <w:rPr>
          <w:rStyle w:val="Placeholder"/>
        </w:rPr>
        <w:t>[PLENÁRIA/REUNIÃO/LIVE]</w:t>
      </w:r>
      <w:r>
        <w:t xml:space="preserve">, na qual os trabalhadores </w:t>
      </w:r>
      <w:r>
        <w:rPr>
          <w:rStyle w:val="Placeholder"/>
        </w:rPr>
        <w:t>[DESCREVER COMO OCORREU A PARTICIPAÇÃO]</w:t>
      </w:r>
      <w:r>
        <w:t xml:space="preserve">. </w:t>
      </w:r>
    </w:p>
    <w:p>
      <w:pPr>
        <w:pStyle w:val="Heading2"/>
      </w:pPr>
      <w:r>
        <w:t>Se não houve espaço de discussão</w:t>
      </w:r>
    </w:p>
    <w:p>
      <w:r>
        <w:t xml:space="preserve"> Até onde foi possível documentar, não foi identificado espaço específico anterior ou concomitante à votação no qual os trabalhadores pudessem formular perguntas e discutir coletivamente os aspectos da proposta. </w:t>
      </w:r>
    </w:p>
    <w:p>
      <w:r>
        <w:rPr>
          <w:b/>
        </w:rPr>
        <w:t>Mantenha apenas a hipótese correspondente aos fatos do seu caso.</w:t>
      </w:r>
    </w:p>
    <w:p>
      <w:pPr>
        <w:pStyle w:val="Heading1"/>
      </w:pPr>
      <w:r>
        <w:t>IV — DO ACESSO A DOCUMENTOS E INFORMAÇÕES</w:t>
      </w:r>
    </w:p>
    <w:p>
      <w:r>
        <w:t xml:space="preserve"> Utilize apenas uma ou mais das hipóteses abaixo que possam ser sustentadas documentalmente. 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6F8"/>
            <w:tcBorders>
              <w:top w:val="single" w:sz="4" w:color="C7D3DB"/>
              <w:left w:val="single" w:sz="4" w:color="C7D3DB"/>
              <w:bottom w:val="single" w:sz="4" w:color="C7D3DB"/>
              <w:right w:val="single" w:sz="4" w:color="C7D3DB"/>
              <w:insideH w:val="single" w:sz="4" w:color="C7D3DB"/>
              <w:insideV w:val="single" w:sz="4" w:color="C7D3DB"/>
            </w:tcBorders>
            <w:vAlign w:val="center"/>
          </w:tcPr>
          <w:p>
            <w:r>
              <w:rPr>
                <w:b/>
              </w:rPr>
              <w:t>HIPÓTESE A — NÃO SE SABE SE O DOCUMENTO INTEGRAL JÁ EXISTIA</w:t>
            </w:r>
          </w:p>
          <w:p>
            <w:r>
              <w:t>Não é possível afirmar, com as informações atualmente disponíveis, se já existia, antes do encerramento da votação, minuta ou documento integral materializando todas as condições da proposta. Requer-se que essa circunstância seja esclarecida na investigação.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6F8"/>
            <w:tcBorders>
              <w:top w:val="single" w:sz="4" w:color="C7D3DB"/>
              <w:left w:val="single" w:sz="4" w:color="C7D3DB"/>
              <w:bottom w:val="single" w:sz="4" w:color="C7D3DB"/>
              <w:right w:val="single" w:sz="4" w:color="C7D3DB"/>
              <w:insideH w:val="single" w:sz="4" w:color="C7D3DB"/>
              <w:insideV w:val="single" w:sz="4" w:color="C7D3DB"/>
            </w:tcBorders>
            <w:vAlign w:val="center"/>
          </w:tcPr>
          <w:p>
            <w:r>
              <w:rPr>
                <w:b/>
              </w:rPr>
              <w:t>HIPÓTESE B — EXISTEM ELEMENTOS DE QUE O DOCUMENTO JÁ EXISTIA</w:t>
            </w:r>
          </w:p>
          <w:p>
            <w:r>
              <w:t>Os Documentos</w:t>
            </w:r>
          </w:p>
          <w:p>
            <w:r>
              <w:t>[INDICAR]</w:t>
            </w:r>
          </w:p>
          <w:p>
            <w:r>
              <w:t>apresentam elementos de que</w:t>
            </w:r>
          </w:p>
          <w:p>
            <w:r>
              <w:t>[IDENTIFICAR O DOCUMENTO]</w:t>
            </w:r>
          </w:p>
          <w:p>
            <w:r>
              <w:t>já existia antes do encerramento da votação. Apesar disso, segundo os registros anexados, o referido conteúdo não foi disponibilizado integralmente aos trabalhadores antes de</w:t>
            </w:r>
          </w:p>
          <w:p>
            <w:r>
              <w:t>[DATA/HORA]</w:t>
            </w:r>
          </w:p>
          <w:p>
            <w:r>
              <w:t>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6F8"/>
            <w:tcBorders>
              <w:top w:val="single" w:sz="4" w:color="C7D3DB"/>
              <w:left w:val="single" w:sz="4" w:color="C7D3DB"/>
              <w:bottom w:val="single" w:sz="4" w:color="C7D3DB"/>
              <w:right w:val="single" w:sz="4" w:color="C7D3DB"/>
              <w:insideH w:val="single" w:sz="4" w:color="C7D3DB"/>
              <w:insideV w:val="single" w:sz="4" w:color="C7D3DB"/>
            </w:tcBorders>
            <w:vAlign w:val="center"/>
          </w:tcPr>
          <w:p>
            <w:r>
              <w:rPr>
                <w:b/>
              </w:rPr>
              <w:t>HIPÓTESE C — HOUVE PEDIDO EXPRESSO DE ACESSO</w:t>
            </w:r>
          </w:p>
          <w:p>
            <w:r>
              <w:t>Em</w:t>
            </w:r>
          </w:p>
          <w:p>
            <w:r>
              <w:t>[DATA/HORA]</w:t>
            </w:r>
          </w:p>
          <w:p>
            <w:r>
              <w:t>, foi solicitado acesso a</w:t>
            </w:r>
          </w:p>
          <w:p>
            <w:r>
              <w:t>[IDENTIFICAR O CONTEÚDO]</w:t>
            </w:r>
          </w:p>
          <w:p>
            <w:r>
              <w:t>, conforme Documento</w:t>
            </w:r>
          </w:p>
          <w:p>
            <w:r>
              <w:t>[NÚMERO]</w:t>
            </w:r>
          </w:p>
          <w:p>
            <w:r>
              <w:t>. A entidade</w:t>
            </w:r>
          </w:p>
          <w:p>
            <w:r>
              <w:t>[RESPONDEU / NÃO RESPONDEU / FORNECEU PARCIALMENTE]</w:t>
            </w:r>
          </w:p>
          <w:p>
            <w:r>
              <w:t>, conforme Documento</w:t>
            </w:r>
          </w:p>
          <w:p>
            <w:r>
              <w:t>[NÚMERO]</w:t>
            </w:r>
          </w:p>
          <w:p>
            <w:r>
              <w:t>.</w:t>
            </w:r>
          </w:p>
        </w:tc>
      </w:tr>
    </w:tbl>
    <w:p>
      <w:pPr>
        <w:spacing w:after="20"/>
      </w:pPr>
    </w:p>
    <w:p>
      <w:pPr>
        <w:pStyle w:val="Heading1"/>
      </w:pPr>
      <w:r>
        <w:t>V — DA CRONOLOGIA DOS ACONTECIMENTOS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DCE6F1"/>
          </w:tcPr>
          <w:p>
            <w:pPr>
              <w:spacing w:after="40" w:line="240" w:lineRule="auto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Evento</w:t>
            </w:r>
          </w:p>
        </w:tc>
        <w:tc>
          <w:tcPr>
            <w:tcW w:type="dxa" w:w="2493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DCE6F1"/>
          </w:tcPr>
          <w:p>
            <w:pPr>
              <w:spacing w:after="40" w:line="240" w:lineRule="auto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Data</w:t>
            </w:r>
          </w:p>
        </w:tc>
        <w:tc>
          <w:tcPr>
            <w:tcW w:type="dxa" w:w="2493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DCE6F1"/>
          </w:tcPr>
          <w:p>
            <w:pPr>
              <w:spacing w:after="40" w:line="240" w:lineRule="auto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Hora</w:t>
            </w:r>
          </w:p>
        </w:tc>
        <w:tc>
          <w:tcPr>
            <w:tcW w:type="dxa" w:w="2493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DCE6F1"/>
          </w:tcPr>
          <w:p>
            <w:pPr>
              <w:spacing w:after="40" w:line="240" w:lineRule="auto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Documento comprobatório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</w:tcPr>
          <w:p>
            <w:pPr>
              <w:spacing w:after="40" w:line="240" w:lineRule="auto"/>
            </w:pPr>
            <w:r>
              <w:rPr>
                <w:sz w:val="17"/>
              </w:rPr>
            </w:r>
            <w:r>
              <w:rPr>
                <w:sz w:val="17"/>
              </w:rPr>
              <w:t>Convocação</w:t>
            </w:r>
          </w:p>
        </w:tc>
        <w:tc>
          <w:tcPr>
            <w:tcW w:type="dxa" w:w="2493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</w:tcPr>
          <w:p>
            <w:pPr>
              <w:spacing w:after="40" w:line="240" w:lineRule="auto"/>
            </w:pPr>
            <w:r>
              <w:rPr>
                <w:sz w:val="17"/>
              </w:rPr>
            </w:r>
            <w:r>
              <w:rPr>
                <w:sz w:val="17"/>
              </w:rPr>
              <w:t>[ ]</w:t>
            </w:r>
          </w:p>
        </w:tc>
        <w:tc>
          <w:tcPr>
            <w:tcW w:type="dxa" w:w="2493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</w:tcPr>
          <w:p>
            <w:pPr>
              <w:spacing w:after="40" w:line="240" w:lineRule="auto"/>
            </w:pPr>
            <w:r>
              <w:rPr>
                <w:sz w:val="17"/>
              </w:rPr>
            </w:r>
            <w:r>
              <w:rPr>
                <w:sz w:val="17"/>
              </w:rPr>
              <w:t>[ ]</w:t>
            </w:r>
          </w:p>
        </w:tc>
        <w:tc>
          <w:tcPr>
            <w:tcW w:type="dxa" w:w="2493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</w:tcPr>
          <w:p>
            <w:pPr>
              <w:spacing w:after="40" w:line="240" w:lineRule="auto"/>
            </w:pPr>
            <w:r>
              <w:rPr>
                <w:sz w:val="17"/>
              </w:rPr>
            </w:r>
            <w:r>
              <w:rPr>
                <w:sz w:val="17"/>
              </w:rPr>
              <w:t>[ ]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</w:tcPr>
          <w:p>
            <w:pPr>
              <w:spacing w:after="40" w:line="240" w:lineRule="auto"/>
            </w:pPr>
            <w:r>
              <w:rPr>
                <w:sz w:val="17"/>
              </w:rPr>
            </w:r>
            <w:r>
              <w:rPr>
                <w:sz w:val="17"/>
              </w:rPr>
              <w:t>Divulgação da proposta</w:t>
            </w:r>
          </w:p>
        </w:tc>
        <w:tc>
          <w:tcPr>
            <w:tcW w:type="dxa" w:w="2493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</w:tcPr>
          <w:p>
            <w:pPr>
              <w:spacing w:after="40" w:line="240" w:lineRule="auto"/>
            </w:pPr>
            <w:r>
              <w:rPr>
                <w:sz w:val="17"/>
              </w:rPr>
            </w:r>
            <w:r>
              <w:rPr>
                <w:sz w:val="17"/>
              </w:rPr>
              <w:t>[ ]</w:t>
            </w:r>
          </w:p>
        </w:tc>
        <w:tc>
          <w:tcPr>
            <w:tcW w:type="dxa" w:w="2493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</w:tcPr>
          <w:p>
            <w:pPr>
              <w:spacing w:after="40" w:line="240" w:lineRule="auto"/>
            </w:pPr>
            <w:r>
              <w:rPr>
                <w:sz w:val="17"/>
              </w:rPr>
            </w:r>
            <w:r>
              <w:rPr>
                <w:sz w:val="17"/>
              </w:rPr>
              <w:t>[ ]</w:t>
            </w:r>
          </w:p>
        </w:tc>
        <w:tc>
          <w:tcPr>
            <w:tcW w:type="dxa" w:w="2493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</w:tcPr>
          <w:p>
            <w:pPr>
              <w:spacing w:after="40" w:line="240" w:lineRule="auto"/>
            </w:pPr>
            <w:r>
              <w:rPr>
                <w:sz w:val="17"/>
              </w:rPr>
            </w:r>
            <w:r>
              <w:rPr>
                <w:sz w:val="17"/>
              </w:rPr>
              <w:t>[ ]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</w:tcPr>
          <w:p>
            <w:pPr>
              <w:spacing w:after="40" w:line="240" w:lineRule="auto"/>
            </w:pPr>
            <w:r>
              <w:rPr>
                <w:sz w:val="17"/>
              </w:rPr>
            </w:r>
            <w:r>
              <w:rPr>
                <w:sz w:val="17"/>
              </w:rPr>
              <w:t>Plenária/debate</w:t>
            </w:r>
          </w:p>
        </w:tc>
        <w:tc>
          <w:tcPr>
            <w:tcW w:type="dxa" w:w="2493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</w:tcPr>
          <w:p>
            <w:pPr>
              <w:spacing w:after="40" w:line="240" w:lineRule="auto"/>
            </w:pPr>
            <w:r>
              <w:rPr>
                <w:sz w:val="17"/>
              </w:rPr>
            </w:r>
            <w:r>
              <w:rPr>
                <w:sz w:val="17"/>
              </w:rPr>
              <w:t>[ ]</w:t>
            </w:r>
          </w:p>
        </w:tc>
        <w:tc>
          <w:tcPr>
            <w:tcW w:type="dxa" w:w="2493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</w:tcPr>
          <w:p>
            <w:pPr>
              <w:spacing w:after="40" w:line="240" w:lineRule="auto"/>
            </w:pPr>
            <w:r>
              <w:rPr>
                <w:sz w:val="17"/>
              </w:rPr>
            </w:r>
            <w:r>
              <w:rPr>
                <w:sz w:val="17"/>
              </w:rPr>
              <w:t>[ ]</w:t>
            </w:r>
          </w:p>
        </w:tc>
        <w:tc>
          <w:tcPr>
            <w:tcW w:type="dxa" w:w="2493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</w:tcPr>
          <w:p>
            <w:pPr>
              <w:spacing w:after="40" w:line="240" w:lineRule="auto"/>
            </w:pPr>
            <w:r>
              <w:rPr>
                <w:sz w:val="17"/>
              </w:rPr>
            </w:r>
            <w:r>
              <w:rPr>
                <w:sz w:val="17"/>
              </w:rPr>
              <w:t>[ ]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</w:tcPr>
          <w:p>
            <w:pPr>
              <w:spacing w:after="40" w:line="240" w:lineRule="auto"/>
            </w:pPr>
            <w:r>
              <w:rPr>
                <w:sz w:val="17"/>
              </w:rPr>
            </w:r>
            <w:r>
              <w:rPr>
                <w:sz w:val="17"/>
              </w:rPr>
              <w:t>Pedido de acesso</w:t>
            </w:r>
          </w:p>
        </w:tc>
        <w:tc>
          <w:tcPr>
            <w:tcW w:type="dxa" w:w="2493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</w:tcPr>
          <w:p>
            <w:pPr>
              <w:spacing w:after="40" w:line="240" w:lineRule="auto"/>
            </w:pPr>
            <w:r>
              <w:rPr>
                <w:sz w:val="17"/>
              </w:rPr>
            </w:r>
            <w:r>
              <w:rPr>
                <w:sz w:val="17"/>
              </w:rPr>
              <w:t>[ ]</w:t>
            </w:r>
          </w:p>
        </w:tc>
        <w:tc>
          <w:tcPr>
            <w:tcW w:type="dxa" w:w="2493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</w:tcPr>
          <w:p>
            <w:pPr>
              <w:spacing w:after="40" w:line="240" w:lineRule="auto"/>
            </w:pPr>
            <w:r>
              <w:rPr>
                <w:sz w:val="17"/>
              </w:rPr>
            </w:r>
            <w:r>
              <w:rPr>
                <w:sz w:val="17"/>
              </w:rPr>
              <w:t>[ ]</w:t>
            </w:r>
          </w:p>
        </w:tc>
        <w:tc>
          <w:tcPr>
            <w:tcW w:type="dxa" w:w="2493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</w:tcPr>
          <w:p>
            <w:pPr>
              <w:spacing w:after="40" w:line="240" w:lineRule="auto"/>
            </w:pPr>
            <w:r>
              <w:rPr>
                <w:sz w:val="17"/>
              </w:rPr>
            </w:r>
            <w:r>
              <w:rPr>
                <w:sz w:val="17"/>
              </w:rPr>
              <w:t>[ ]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</w:tcPr>
          <w:p>
            <w:pPr>
              <w:spacing w:after="40" w:line="240" w:lineRule="auto"/>
            </w:pPr>
            <w:r>
              <w:rPr>
                <w:sz w:val="17"/>
              </w:rPr>
            </w:r>
            <w:r>
              <w:rPr>
                <w:sz w:val="17"/>
              </w:rPr>
              <w:t>Resposta</w:t>
            </w:r>
          </w:p>
        </w:tc>
        <w:tc>
          <w:tcPr>
            <w:tcW w:type="dxa" w:w="2493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</w:tcPr>
          <w:p>
            <w:pPr>
              <w:spacing w:after="40" w:line="240" w:lineRule="auto"/>
            </w:pPr>
            <w:r>
              <w:rPr>
                <w:sz w:val="17"/>
              </w:rPr>
            </w:r>
            <w:r>
              <w:rPr>
                <w:sz w:val="17"/>
              </w:rPr>
              <w:t>[ ]</w:t>
            </w:r>
          </w:p>
        </w:tc>
        <w:tc>
          <w:tcPr>
            <w:tcW w:type="dxa" w:w="2493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</w:tcPr>
          <w:p>
            <w:pPr>
              <w:spacing w:after="40" w:line="240" w:lineRule="auto"/>
            </w:pPr>
            <w:r>
              <w:rPr>
                <w:sz w:val="17"/>
              </w:rPr>
            </w:r>
            <w:r>
              <w:rPr>
                <w:sz w:val="17"/>
              </w:rPr>
              <w:t>[ ]</w:t>
            </w:r>
          </w:p>
        </w:tc>
        <w:tc>
          <w:tcPr>
            <w:tcW w:type="dxa" w:w="2493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</w:tcPr>
          <w:p>
            <w:pPr>
              <w:spacing w:after="40" w:line="240" w:lineRule="auto"/>
            </w:pPr>
            <w:r>
              <w:rPr>
                <w:sz w:val="17"/>
              </w:rPr>
            </w:r>
            <w:r>
              <w:rPr>
                <w:sz w:val="17"/>
              </w:rPr>
              <w:t>[ ]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</w:tcPr>
          <w:p>
            <w:pPr>
              <w:spacing w:after="40" w:line="240" w:lineRule="auto"/>
            </w:pPr>
            <w:r>
              <w:rPr>
                <w:sz w:val="17"/>
              </w:rPr>
            </w:r>
            <w:r>
              <w:rPr>
                <w:sz w:val="17"/>
              </w:rPr>
              <w:t>Início da votação</w:t>
            </w:r>
          </w:p>
        </w:tc>
        <w:tc>
          <w:tcPr>
            <w:tcW w:type="dxa" w:w="2493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</w:tcPr>
          <w:p>
            <w:pPr>
              <w:spacing w:after="40" w:line="240" w:lineRule="auto"/>
            </w:pPr>
            <w:r>
              <w:rPr>
                <w:sz w:val="17"/>
              </w:rPr>
            </w:r>
            <w:r>
              <w:rPr>
                <w:sz w:val="17"/>
              </w:rPr>
              <w:t>[ ]</w:t>
            </w:r>
          </w:p>
        </w:tc>
        <w:tc>
          <w:tcPr>
            <w:tcW w:type="dxa" w:w="2493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</w:tcPr>
          <w:p>
            <w:pPr>
              <w:spacing w:after="40" w:line="240" w:lineRule="auto"/>
            </w:pPr>
            <w:r>
              <w:rPr>
                <w:sz w:val="17"/>
              </w:rPr>
            </w:r>
            <w:r>
              <w:rPr>
                <w:sz w:val="17"/>
              </w:rPr>
              <w:t>[ ]</w:t>
            </w:r>
          </w:p>
        </w:tc>
        <w:tc>
          <w:tcPr>
            <w:tcW w:type="dxa" w:w="2493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</w:tcPr>
          <w:p>
            <w:pPr>
              <w:spacing w:after="40" w:line="240" w:lineRule="auto"/>
            </w:pPr>
            <w:r>
              <w:rPr>
                <w:sz w:val="17"/>
              </w:rPr>
            </w:r>
            <w:r>
              <w:rPr>
                <w:sz w:val="17"/>
              </w:rPr>
              <w:t>[ ]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</w:tcPr>
          <w:p>
            <w:pPr>
              <w:spacing w:after="40" w:line="240" w:lineRule="auto"/>
            </w:pPr>
            <w:r>
              <w:rPr>
                <w:sz w:val="17"/>
              </w:rPr>
            </w:r>
            <w:r>
              <w:rPr>
                <w:sz w:val="17"/>
              </w:rPr>
              <w:t>Divulgação de documento integral</w:t>
            </w:r>
          </w:p>
        </w:tc>
        <w:tc>
          <w:tcPr>
            <w:tcW w:type="dxa" w:w="2493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</w:tcPr>
          <w:p>
            <w:pPr>
              <w:spacing w:after="40" w:line="240" w:lineRule="auto"/>
            </w:pPr>
            <w:r>
              <w:rPr>
                <w:sz w:val="17"/>
              </w:rPr>
            </w:r>
            <w:r>
              <w:rPr>
                <w:sz w:val="17"/>
              </w:rPr>
              <w:t>[ ]</w:t>
            </w:r>
          </w:p>
        </w:tc>
        <w:tc>
          <w:tcPr>
            <w:tcW w:type="dxa" w:w="2493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</w:tcPr>
          <w:p>
            <w:pPr>
              <w:spacing w:after="40" w:line="240" w:lineRule="auto"/>
            </w:pPr>
            <w:r>
              <w:rPr>
                <w:sz w:val="17"/>
              </w:rPr>
            </w:r>
            <w:r>
              <w:rPr>
                <w:sz w:val="17"/>
              </w:rPr>
              <w:t>[ ]</w:t>
            </w:r>
          </w:p>
        </w:tc>
        <w:tc>
          <w:tcPr>
            <w:tcW w:type="dxa" w:w="2493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</w:tcPr>
          <w:p>
            <w:pPr>
              <w:spacing w:after="40" w:line="240" w:lineRule="auto"/>
            </w:pPr>
            <w:r>
              <w:rPr>
                <w:sz w:val="17"/>
              </w:rPr>
            </w:r>
            <w:r>
              <w:rPr>
                <w:sz w:val="17"/>
              </w:rPr>
              <w:t>[ ]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</w:tcPr>
          <w:p>
            <w:pPr>
              <w:spacing w:after="40" w:line="240" w:lineRule="auto"/>
            </w:pPr>
            <w:r>
              <w:rPr>
                <w:sz w:val="17"/>
              </w:rPr>
            </w:r>
            <w:r>
              <w:rPr>
                <w:sz w:val="17"/>
              </w:rPr>
              <w:t>Encerramento da votação</w:t>
            </w:r>
          </w:p>
        </w:tc>
        <w:tc>
          <w:tcPr>
            <w:tcW w:type="dxa" w:w="2493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</w:tcPr>
          <w:p>
            <w:pPr>
              <w:spacing w:after="40" w:line="240" w:lineRule="auto"/>
            </w:pPr>
            <w:r>
              <w:rPr>
                <w:sz w:val="17"/>
              </w:rPr>
            </w:r>
            <w:r>
              <w:rPr>
                <w:sz w:val="17"/>
              </w:rPr>
              <w:t>[ ]</w:t>
            </w:r>
          </w:p>
        </w:tc>
        <w:tc>
          <w:tcPr>
            <w:tcW w:type="dxa" w:w="2493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</w:tcPr>
          <w:p>
            <w:pPr>
              <w:spacing w:after="40" w:line="240" w:lineRule="auto"/>
            </w:pPr>
            <w:r>
              <w:rPr>
                <w:sz w:val="17"/>
              </w:rPr>
            </w:r>
            <w:r>
              <w:rPr>
                <w:sz w:val="17"/>
              </w:rPr>
              <w:t>[ ]</w:t>
            </w:r>
          </w:p>
        </w:tc>
        <w:tc>
          <w:tcPr>
            <w:tcW w:type="dxa" w:w="2493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</w:tcPr>
          <w:p>
            <w:pPr>
              <w:spacing w:after="40" w:line="240" w:lineRule="auto"/>
            </w:pPr>
            <w:r>
              <w:rPr>
                <w:sz w:val="17"/>
              </w:rPr>
            </w:r>
            <w:r>
              <w:rPr>
                <w:sz w:val="17"/>
              </w:rPr>
              <w:t>[ ]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</w:tcPr>
          <w:p>
            <w:pPr>
              <w:spacing w:after="40" w:line="240" w:lineRule="auto"/>
            </w:pPr>
            <w:r>
              <w:rPr>
                <w:sz w:val="17"/>
              </w:rPr>
            </w:r>
            <w:r>
              <w:rPr>
                <w:sz w:val="17"/>
              </w:rPr>
              <w:t>Resultado</w:t>
            </w:r>
          </w:p>
        </w:tc>
        <w:tc>
          <w:tcPr>
            <w:tcW w:type="dxa" w:w="2493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</w:tcPr>
          <w:p>
            <w:pPr>
              <w:spacing w:after="40" w:line="240" w:lineRule="auto"/>
            </w:pPr>
            <w:r>
              <w:rPr>
                <w:sz w:val="17"/>
              </w:rPr>
            </w:r>
            <w:r>
              <w:rPr>
                <w:sz w:val="17"/>
              </w:rPr>
              <w:t>[ ]</w:t>
            </w:r>
          </w:p>
        </w:tc>
        <w:tc>
          <w:tcPr>
            <w:tcW w:type="dxa" w:w="2493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</w:tcPr>
          <w:p>
            <w:pPr>
              <w:spacing w:after="40" w:line="240" w:lineRule="auto"/>
            </w:pPr>
            <w:r>
              <w:rPr>
                <w:sz w:val="17"/>
              </w:rPr>
            </w:r>
            <w:r>
              <w:rPr>
                <w:sz w:val="17"/>
              </w:rPr>
              <w:t>[ ]</w:t>
            </w:r>
          </w:p>
        </w:tc>
        <w:tc>
          <w:tcPr>
            <w:tcW w:type="dxa" w:w="2493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</w:tcPr>
          <w:p>
            <w:pPr>
              <w:spacing w:after="40" w:line="240" w:lineRule="auto"/>
            </w:pPr>
            <w:r>
              <w:rPr>
                <w:sz w:val="17"/>
              </w:rPr>
            </w:r>
            <w:r>
              <w:rPr>
                <w:sz w:val="17"/>
              </w:rPr>
              <w:t>[ ]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</w:tcPr>
          <w:p>
            <w:pPr>
              <w:spacing w:after="40" w:line="240" w:lineRule="auto"/>
            </w:pPr>
            <w:r>
              <w:rPr>
                <w:sz w:val="17"/>
              </w:rPr>
            </w:r>
            <w:r>
              <w:rPr>
                <w:sz w:val="17"/>
              </w:rPr>
              <w:t>Assinatura da CCT/ACT</w:t>
            </w:r>
          </w:p>
        </w:tc>
        <w:tc>
          <w:tcPr>
            <w:tcW w:type="dxa" w:w="2493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</w:tcPr>
          <w:p>
            <w:pPr>
              <w:spacing w:after="40" w:line="240" w:lineRule="auto"/>
            </w:pPr>
            <w:r>
              <w:rPr>
                <w:sz w:val="17"/>
              </w:rPr>
            </w:r>
            <w:r>
              <w:rPr>
                <w:sz w:val="17"/>
              </w:rPr>
              <w:t>[ ]</w:t>
            </w:r>
          </w:p>
        </w:tc>
        <w:tc>
          <w:tcPr>
            <w:tcW w:type="dxa" w:w="2493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</w:tcPr>
          <w:p>
            <w:pPr>
              <w:spacing w:after="40" w:line="240" w:lineRule="auto"/>
            </w:pPr>
            <w:r>
              <w:rPr>
                <w:sz w:val="17"/>
              </w:rPr>
            </w:r>
            <w:r>
              <w:rPr>
                <w:sz w:val="17"/>
              </w:rPr>
              <w:t>[ ]</w:t>
            </w:r>
          </w:p>
        </w:tc>
        <w:tc>
          <w:tcPr>
            <w:tcW w:type="dxa" w:w="2493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</w:tcPr>
          <w:p>
            <w:pPr>
              <w:spacing w:after="40" w:line="240" w:lineRule="auto"/>
            </w:pPr>
            <w:r>
              <w:rPr>
                <w:sz w:val="17"/>
              </w:rPr>
            </w:r>
            <w:r>
              <w:rPr>
                <w:sz w:val="17"/>
              </w:rPr>
              <w:t>[ ]</w:t>
            </w:r>
          </w:p>
        </w:tc>
      </w:tr>
    </w:tbl>
    <w:p>
      <w:pPr>
        <w:spacing w:after="20"/>
      </w:pPr>
    </w:p>
    <w:p>
      <w:pPr>
        <w:pStyle w:val="Heading1"/>
      </w:pPr>
      <w:r>
        <w:t>VI — DAS EVENTUAIS DIVERGÊNCIAS MATERIAIS</w:t>
      </w:r>
    </w:p>
    <w:p>
      <w:r>
        <w:t xml:space="preserve"> Caso tenha sido possível comparar os materiais apresentados antes da votação com o instrumento posteriormente divulgado, as diferenças consideradas relevantes podem ser demonstradas na tabela abaixo. 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DCE6F1"/>
          </w:tcPr>
          <w:p>
            <w:pPr>
              <w:spacing w:after="40" w:line="240" w:lineRule="auto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Tema/cláusula</w:t>
            </w:r>
          </w:p>
        </w:tc>
        <w:tc>
          <w:tcPr>
            <w:tcW w:type="dxa" w:w="1994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DCE6F1"/>
          </w:tcPr>
          <w:p>
            <w:pPr>
              <w:spacing w:after="40" w:line="240" w:lineRule="auto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Informação antes do voto</w:t>
            </w:r>
          </w:p>
        </w:tc>
        <w:tc>
          <w:tcPr>
            <w:tcW w:type="dxa" w:w="1994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DCE6F1"/>
          </w:tcPr>
          <w:p>
            <w:pPr>
              <w:spacing w:after="40" w:line="240" w:lineRule="auto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Conteúdo posteriormente conhecido</w:t>
            </w:r>
          </w:p>
        </w:tc>
        <w:tc>
          <w:tcPr>
            <w:tcW w:type="dxa" w:w="1994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DCE6F1"/>
          </w:tcPr>
          <w:p>
            <w:pPr>
              <w:spacing w:after="40" w:line="240" w:lineRule="auto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Relevância da diferença</w:t>
            </w:r>
          </w:p>
        </w:tc>
        <w:tc>
          <w:tcPr>
            <w:tcW w:type="dxa" w:w="1994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DCE6F1"/>
          </w:tcPr>
          <w:p>
            <w:pPr>
              <w:spacing w:after="40" w:line="240" w:lineRule="auto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Prova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</w:tcPr>
          <w:p>
            <w:pPr>
              <w:spacing w:after="40" w:line="240" w:lineRule="auto"/>
            </w:pPr>
            <w:r>
              <w:rPr>
                <w:sz w:val="17"/>
              </w:rPr>
            </w:r>
            <w:r>
              <w:rPr>
                <w:sz w:val="17"/>
              </w:rPr>
              <w:t>[ ]</w:t>
            </w:r>
          </w:p>
        </w:tc>
        <w:tc>
          <w:tcPr>
            <w:tcW w:type="dxa" w:w="1994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</w:tcPr>
          <w:p>
            <w:pPr>
              <w:spacing w:after="40" w:line="240" w:lineRule="auto"/>
            </w:pPr>
            <w:r>
              <w:rPr>
                <w:sz w:val="17"/>
              </w:rPr>
            </w:r>
            <w:r>
              <w:rPr>
                <w:sz w:val="17"/>
              </w:rPr>
              <w:t>[ ]</w:t>
            </w:r>
          </w:p>
        </w:tc>
        <w:tc>
          <w:tcPr>
            <w:tcW w:type="dxa" w:w="1994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</w:tcPr>
          <w:p>
            <w:pPr>
              <w:spacing w:after="40" w:line="240" w:lineRule="auto"/>
            </w:pPr>
            <w:r>
              <w:rPr>
                <w:sz w:val="17"/>
              </w:rPr>
            </w:r>
            <w:r>
              <w:rPr>
                <w:sz w:val="17"/>
              </w:rPr>
              <w:t>[ ]</w:t>
            </w:r>
          </w:p>
        </w:tc>
        <w:tc>
          <w:tcPr>
            <w:tcW w:type="dxa" w:w="1994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</w:tcPr>
          <w:p>
            <w:pPr>
              <w:spacing w:after="40" w:line="240" w:lineRule="auto"/>
            </w:pPr>
            <w:r>
              <w:rPr>
                <w:sz w:val="17"/>
              </w:rPr>
            </w:r>
            <w:r>
              <w:rPr>
                <w:sz w:val="17"/>
              </w:rPr>
              <w:t>[ ]</w:t>
            </w:r>
          </w:p>
        </w:tc>
        <w:tc>
          <w:tcPr>
            <w:tcW w:type="dxa" w:w="1994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</w:tcPr>
          <w:p>
            <w:pPr>
              <w:spacing w:after="40" w:line="240" w:lineRule="auto"/>
            </w:pPr>
            <w:r>
              <w:rPr>
                <w:sz w:val="17"/>
              </w:rPr>
            </w:r>
            <w:r>
              <w:rPr>
                <w:sz w:val="17"/>
              </w:rPr>
              <w:t>[ ]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</w:tcPr>
          <w:p>
            <w:pPr>
              <w:spacing w:after="40" w:line="240" w:lineRule="auto"/>
            </w:pPr>
            <w:r>
              <w:rPr>
                <w:sz w:val="17"/>
              </w:rPr>
            </w:r>
            <w:r>
              <w:rPr>
                <w:sz w:val="17"/>
              </w:rPr>
              <w:t>[ ]</w:t>
            </w:r>
          </w:p>
        </w:tc>
        <w:tc>
          <w:tcPr>
            <w:tcW w:type="dxa" w:w="1994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</w:tcPr>
          <w:p>
            <w:pPr>
              <w:spacing w:after="40" w:line="240" w:lineRule="auto"/>
            </w:pPr>
            <w:r>
              <w:rPr>
                <w:sz w:val="17"/>
              </w:rPr>
            </w:r>
            <w:r>
              <w:rPr>
                <w:sz w:val="17"/>
              </w:rPr>
              <w:t>[ ]</w:t>
            </w:r>
          </w:p>
        </w:tc>
        <w:tc>
          <w:tcPr>
            <w:tcW w:type="dxa" w:w="1994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</w:tcPr>
          <w:p>
            <w:pPr>
              <w:spacing w:after="40" w:line="240" w:lineRule="auto"/>
            </w:pPr>
            <w:r>
              <w:rPr>
                <w:sz w:val="17"/>
              </w:rPr>
            </w:r>
            <w:r>
              <w:rPr>
                <w:sz w:val="17"/>
              </w:rPr>
              <w:t>[ ]</w:t>
            </w:r>
          </w:p>
        </w:tc>
        <w:tc>
          <w:tcPr>
            <w:tcW w:type="dxa" w:w="1994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</w:tcPr>
          <w:p>
            <w:pPr>
              <w:spacing w:after="40" w:line="240" w:lineRule="auto"/>
            </w:pPr>
            <w:r>
              <w:rPr>
                <w:sz w:val="17"/>
              </w:rPr>
            </w:r>
            <w:r>
              <w:rPr>
                <w:sz w:val="17"/>
              </w:rPr>
              <w:t>[ ]</w:t>
            </w:r>
          </w:p>
        </w:tc>
        <w:tc>
          <w:tcPr>
            <w:tcW w:type="dxa" w:w="1994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</w:tcPr>
          <w:p>
            <w:pPr>
              <w:spacing w:after="40" w:line="240" w:lineRule="auto"/>
            </w:pPr>
            <w:r>
              <w:rPr>
                <w:sz w:val="17"/>
              </w:rPr>
            </w:r>
            <w:r>
              <w:rPr>
                <w:sz w:val="17"/>
              </w:rPr>
              <w:t>[ ]</w:t>
            </w:r>
          </w:p>
        </w:tc>
      </w:tr>
    </w:tbl>
    <w:p>
      <w:pPr>
        <w:spacing w:after="20"/>
      </w:pPr>
    </w:p>
    <w:p>
      <w:r>
        <w:t xml:space="preserve"> Não se pretende atribuir relevância jurídica automática a toda diferença de redação. O objetivo é identificar eventual divergência capaz de alterar materialmente a compreensão sobre direitos, obrigações, valores, condições, exceções, limitações ou consequências da proposta. </w:t>
      </w:r>
    </w:p>
    <w:p>
      <w:pPr>
        <w:pStyle w:val="Heading1"/>
      </w:pPr>
      <w:r>
        <w:t>VII — DA RELEVÂNCIA JURÍDICA DA DELIBERAÇÃO ASSEMBLEAR</w:t>
      </w:r>
    </w:p>
    <w:p>
      <w:r>
        <w:t xml:space="preserve"> Os arts. 612 e 615 da Consolidação das Leis do Trabalho atribuem relevância à deliberação em Assembleia Geral nas hipóteses neles disciplinadas. </w:t>
      </w:r>
    </w:p>
    <w:p>
      <w:r>
        <w:t xml:space="preserve"> A presente representação não interpreta esses dispositivos como se contivessem prazo de divulgação prévia que seu texto não estabelece. </w:t>
      </w:r>
    </w:p>
    <w:p>
      <w:r>
        <w:t xml:space="preserve"> A questão submetida à análise ministerial é distinta: verificar se, nas circunstâncias concretas, houve efetiva possibilidade de deliberação sobre o objeto submetido à categoria ou se o procedimento se limitou à coleta de votos sem condições informacionais e participativas suficientes para a formação da decisão coletiva. </w:t>
      </w:r>
    </w:p>
    <w:p>
      <w:pPr>
        <w:pStyle w:val="Heading1"/>
      </w:pPr>
      <w:r>
        <w:t>VIII — DA LIBERDADE E DA DEMOCRACIA SINDICAIS</w:t>
      </w:r>
    </w:p>
    <w:p>
      <w:r>
        <w:t xml:space="preserve"> A Constituição Federal assegura a autonomia sindical e veda a interferência e a intervenção do Poder Público na organização sindical. </w:t>
      </w:r>
    </w:p>
    <w:p>
      <w:r>
        <w:t xml:space="preserve"> Esta representação não pretende transferir ao Estado a direção política da entidade sindical, definir a estratégia negocial ou determinar qual resultado deveria ser escolhido pela categoria. </w:t>
      </w:r>
    </w:p>
    <w:p>
      <w:r>
        <w:t xml:space="preserve"> Entretanto, a própria classificação temática institucional do Ministério Público do Trabalho contempla vícios no processo de negociação coletiva e irregularidades em assembleias sindicais. </w:t>
      </w:r>
    </w:p>
    <w:p>
      <w:r>
        <w:t xml:space="preserve"> A Resolução nº 195 do Conselho Superior do Ministério Público do Trabalho, em sua classificação temática, inclui o Tema 8.8.5, relativo a irregularidades em assembleias sindicais, reconhecendo a relevância da assembleia como espaço democrático de decisão coletiva. </w:t>
      </w:r>
    </w:p>
    <w:p>
      <w:r>
        <w:t xml:space="preserve"> Assim, autonomia sindical e controle de eventuais irregularidades juridicamente relevantes não devem ser tratados como conceitos necessariamente incompatíveis. </w:t>
      </w:r>
    </w:p>
    <w:p>
      <w:pPr>
        <w:pStyle w:val="Heading1"/>
      </w:pPr>
      <w:r>
        <w:t>IX — DA POSSIBILIDADE EFETIVA DE DISCUTIR E DELIBERAR</w:t>
      </w:r>
    </w:p>
    <w:p>
      <w:r>
        <w:t xml:space="preserve"> Documentos institucionais do Ministério Público do Trabalho relacionados à liberdade sindical reconhecem a importância de que trabalhadores abrangidos pela negociação possam discutir e deliberar sobre as propostas apresentadas. </w:t>
      </w:r>
    </w:p>
    <w:p>
      <w:r>
        <w:t xml:space="preserve"> Diante disso, mostra-se pertinente investigar, no caso concreto, se eventual não disponibilização de informações ou documentos materialmente relevantes e já existentes constituiu dificuldade ou embaraço à efetiva discussão e deliberação da categoria. </w:t>
      </w:r>
    </w:p>
    <w:p>
      <w:r>
        <w:t xml:space="preserve"> A conclusão depende das provas e não deve ser presumida. </w:t>
      </w:r>
    </w:p>
    <w:p>
      <w:pPr>
        <w:pStyle w:val="Heading1"/>
      </w:pPr>
      <w:r>
        <w:t>X — DA COMPETÊNCIA DO MINISTÉRIO PÚBLICO DO TRABALHO</w:t>
      </w:r>
    </w:p>
    <w:p>
      <w:r>
        <w:t xml:space="preserve"> A Lei Complementar nº 75/1993 atribui ao Ministério Público do Trabalho competências relacionadas à tutela de interesses coletivos e dos direitos sociais dos trabalhadores. </w:t>
      </w:r>
    </w:p>
    <w:p>
      <w:r>
        <w:t xml:space="preserve"> Entre os instrumentos legalmente previstos encontram-se a ação civil pública, nas hipóteses cabíveis, o inquérito civil e outros procedimentos administrativos destinados à proteção dos direitos sociais trabalhistas. </w:t>
      </w:r>
    </w:p>
    <w:p>
      <w:r>
        <w:t xml:space="preserve"> Por essa razão, os fatos e documentos apresentados são submetidos à apreciação do Ministério Público do Trabalho para que, no exercício de sua independência funcional, avalie a existência ou não de fundamento para investigação e adoção das providências cabíveis. </w:t>
      </w:r>
    </w:p>
    <w:p>
      <w:pPr>
        <w:pStyle w:val="Heading1"/>
      </w:pPr>
      <w:r>
        <w:t>XI — DOS PEDIDOS</w:t>
      </w:r>
    </w:p>
    <w:p>
      <w:r>
        <w:t xml:space="preserve"> Diante do exposto, requer-se, respeitada a independência funcional do Ministério Público do Trabalho: </w:t>
      </w:r>
    </w:p>
    <w:p>
      <w:pPr>
        <w:pStyle w:val="ListNumber"/>
      </w:pPr>
      <w:r>
        <w:t xml:space="preserve"> o recebimento e registro da presente notícia de fato ou representação; </w:t>
      </w:r>
    </w:p>
    <w:p>
      <w:pPr>
        <w:pStyle w:val="ListNumber"/>
      </w:pPr>
      <w:r>
        <w:t xml:space="preserve"> a análise dos documentos apresentados; </w:t>
      </w:r>
    </w:p>
    <w:p>
      <w:pPr>
        <w:pStyle w:val="ListNumber"/>
      </w:pPr>
      <w:r>
        <w:t xml:space="preserve"> a investigação das circunstâncias relacionadas à convocação, informação, discussão, participação e votação da assembleia descrita; </w:t>
      </w:r>
    </w:p>
    <w:p>
      <w:pPr>
        <w:pStyle w:val="ListNumber"/>
      </w:pPr>
      <w:r>
        <w:t xml:space="preserve"> caso considerado pertinente, a requisição do edital, ata, registros da assembleia e demais documentos relacionados ao procedimento deliberativo; </w:t>
      </w:r>
    </w:p>
    <w:p>
      <w:pPr>
        <w:pStyle w:val="ListNumber"/>
      </w:pPr>
      <w:r>
        <w:t xml:space="preserve"> a identificação das propostas, minutas e demais documentos que existiam durante as diferentes etapas da negociação; </w:t>
      </w:r>
    </w:p>
    <w:p>
      <w:pPr>
        <w:pStyle w:val="ListNumber"/>
      </w:pPr>
      <w:r>
        <w:t xml:space="preserve"> a apuração de quando tais documentos foram recebidos ou produzidos pela entidade sindical, quando essa informação for relevante e juridicamente acessível; </w:t>
      </w:r>
    </w:p>
    <w:p>
      <w:pPr>
        <w:pStyle w:val="ListNumber"/>
      </w:pPr>
      <w:r>
        <w:t xml:space="preserve"> a identificação das informações e documentos disponibilizados aos trabalhadores e das respectivas datas; </w:t>
      </w:r>
    </w:p>
    <w:p>
      <w:pPr>
        <w:pStyle w:val="ListNumber"/>
      </w:pPr>
      <w:r>
        <w:t xml:space="preserve"> a identificação precisa do objeto efetivamente submetido à votação; </w:t>
      </w:r>
    </w:p>
    <w:p>
      <w:pPr>
        <w:pStyle w:val="ListNumber"/>
      </w:pPr>
      <w:r>
        <w:t xml:space="preserve"> a comparação, quando pertinente, entre a proposta negociada, os documentos recebidos pela entidade, as informações apresentadas aos trabalhadores, o objeto colocado em votação, o conteúdo considerado aprovado e o instrumento posteriormente celebrado; </w:t>
      </w:r>
    </w:p>
    <w:p>
      <w:pPr>
        <w:pStyle w:val="ListNumber"/>
      </w:pPr>
      <w:r>
        <w:t xml:space="preserve"> a análise das disposições pertinentes do estatuto da entidade sindical; </w:t>
      </w:r>
    </w:p>
    <w:p>
      <w:pPr>
        <w:pStyle w:val="ListNumber"/>
      </w:pPr>
      <w:r>
        <w:t xml:space="preserve"> a verificação das condições efetivas de participação, manifestação, formulação de perguntas e discussão pelos trabalhadores; </w:t>
      </w:r>
    </w:p>
    <w:p>
      <w:pPr>
        <w:pStyle w:val="ListNumber"/>
      </w:pPr>
      <w:r>
        <w:t xml:space="preserve"> a avaliação da existência ou não de irregularidade assemblear ou vício juridicamente relevante no processo de negociação coletiva; </w:t>
      </w:r>
    </w:p>
    <w:p>
      <w:pPr>
        <w:pStyle w:val="ListNumber"/>
      </w:pPr>
      <w:r>
        <w:t xml:space="preserve"> a avaliação da suficiência material das informações, documentos, explicações e oportunidades de debate oferecidos à categoria no caso concreto; </w:t>
      </w:r>
    </w:p>
    <w:p>
      <w:pPr>
        <w:pStyle w:val="ListNumber"/>
      </w:pPr>
      <w:r>
        <w:t xml:space="preserve"> caso sejam constatadas irregularidades, a avaliação das medidas extrajudiciais, preventivas, reparatórias ou judiciais proporcionais e juridicamente cabíveis; </w:t>
      </w:r>
    </w:p>
    <w:p>
      <w:pPr>
        <w:pStyle w:val="ListNumber"/>
      </w:pPr>
      <w:r>
        <w:t xml:space="preserve"> caso tenha sido formulado, a apreciação do pedido de confidencialidade da identidade do/a representante, nos limites juridicamente admitidos; </w:t>
      </w:r>
    </w:p>
    <w:p>
      <w:pPr>
        <w:pStyle w:val="ListNumber"/>
      </w:pPr>
      <w:r>
        <w:t xml:space="preserve"> a adoção de outras providências que o Ministério Público do Trabalho considere pertinentes diante dos fatos apurados. </w:t>
      </w:r>
    </w:p>
    <w:p>
      <w:pPr>
        <w:pStyle w:val="Heading1"/>
      </w:pPr>
      <w:r>
        <w:t>XII — DOS DOCUMENTOS ANEXADOS</w:t>
      </w:r>
    </w:p>
    <w:p>
      <w:r>
        <w:t xml:space="preserve"> A representação é acompanhada, conforme disponibilidade no caso concreto, dos seguintes documentos: </w:t>
      </w:r>
    </w:p>
    <w:p>
      <w:pPr>
        <w:pStyle w:val="ListBullet"/>
      </w:pPr>
      <w:r>
        <w:t>Documento 01 — Edital/convocação da assembleia;</w:t>
      </w:r>
    </w:p>
    <w:p>
      <w:pPr>
        <w:pStyle w:val="ListBullet"/>
      </w:pPr>
      <w:r>
        <w:t>Documento 02 — Materiais de divulgação da proposta;</w:t>
      </w:r>
    </w:p>
    <w:p>
      <w:pPr>
        <w:pStyle w:val="ListBullet"/>
      </w:pPr>
      <w:r>
        <w:t>Documento 03 — Registros da plataforma de votação;</w:t>
      </w:r>
    </w:p>
    <w:p>
      <w:pPr>
        <w:pStyle w:val="ListBullet"/>
      </w:pPr>
      <w:r>
        <w:t>Documento 04 — Registros da plenária ou debate;</w:t>
      </w:r>
    </w:p>
    <w:p>
      <w:pPr>
        <w:pStyle w:val="ListBullet"/>
      </w:pPr>
      <w:r>
        <w:t>Documento 05 — Pedido de acesso a informações/documentos;</w:t>
      </w:r>
    </w:p>
    <w:p>
      <w:pPr>
        <w:pStyle w:val="ListBullet"/>
      </w:pPr>
      <w:r>
        <w:t>Documento 06 — Resposta da entidade sindical;</w:t>
      </w:r>
    </w:p>
    <w:p>
      <w:pPr>
        <w:pStyle w:val="ListBullet"/>
      </w:pPr>
      <w:r>
        <w:t>Documento 07 — Documento integral posteriormente conhecido;</w:t>
      </w:r>
    </w:p>
    <w:p>
      <w:pPr>
        <w:pStyle w:val="ListBullet"/>
      </w:pPr>
      <w:r>
        <w:t>Documento 08 — CCT ou ACT celebrado;</w:t>
      </w:r>
    </w:p>
    <w:p>
      <w:pPr>
        <w:pStyle w:val="ListBullet"/>
      </w:pPr>
      <w:r>
        <w:t>Documento 09 — Tabela cronológica;</w:t>
      </w:r>
    </w:p>
    <w:p>
      <w:pPr>
        <w:pStyle w:val="ListBullet"/>
      </w:pPr>
      <w:r>
        <w:t>Documento 10 — Comparação das informações e cláusulas;</w:t>
      </w:r>
    </w:p>
    <w:p>
      <w:pPr>
        <w:pStyle w:val="ListBullet"/>
      </w:pPr>
      <w:r>
        <w:t>Documento 11 — Estatuto sindical, se disponível;</w:t>
      </w:r>
    </w:p>
    <w:p>
      <w:pPr>
        <w:pStyle w:val="ListBullet"/>
      </w:pPr>
      <w:r>
        <w:t>Documento 12 — Outros elementos pertinentes.</w:t>
      </w:r>
    </w:p>
    <w:p>
      <w:pPr>
        <w:pStyle w:val="Heading1"/>
      </w:pPr>
      <w:r>
        <w:t>XIII — DA DELIMITAÇÃO EXPRESSA DA REPRESENTAÇÃO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6F8"/>
            <w:tcBorders>
              <w:top w:val="single" w:sz="4" w:color="7F8C8D"/>
              <w:left w:val="single" w:sz="4" w:color="7F8C8D"/>
              <w:bottom w:val="single" w:sz="4" w:color="7F8C8D"/>
              <w:right w:val="single" w:sz="4" w:color="7F8C8D"/>
              <w:insideH w:val="single" w:sz="4" w:color="7F8C8D"/>
              <w:insideV w:val="single" w:sz="4" w:color="7F8C8D"/>
            </w:tcBorders>
            <w:vAlign w:val="center"/>
          </w:tcPr>
          <w:p>
            <w:r>
              <w:t xml:space="preserve"> Para evitar interpretação mais ampla do que aquela sustentada pelos fatos, o/a representante esclarece expressamente que </w:t>
            </w:r>
            <w:r>
              <w:rPr>
                <w:b/>
              </w:rPr>
              <w:t>não afirma, apenas com base neste modelo:</w:t>
            </w:r>
          </w:p>
          <w:p>
            <w:pPr>
              <w:pStyle w:val="ListBullet"/>
            </w:pPr>
            <w:r>
              <w:t xml:space="preserve"> existir regra legal geral impondo divulgação da íntegra com antecedência fixa de 24 ou 48 horas; </w:t>
            </w:r>
          </w:p>
          <w:p>
            <w:pPr>
              <w:pStyle w:val="ListBullet"/>
            </w:pPr>
            <w:r>
              <w:t>que assembleias virtuais sejam inválidas por natureza;</w:t>
            </w:r>
          </w:p>
          <w:p>
            <w:pPr>
              <w:pStyle w:val="ListBullet"/>
            </w:pPr>
            <w:r>
              <w:t>que todo resumo seja necessariamente insuficiente;</w:t>
            </w:r>
          </w:p>
          <w:p>
            <w:pPr>
              <w:pStyle w:val="ListBullet"/>
            </w:pPr>
            <w:r>
              <w:t xml:space="preserve"> que determinada minuta já existisse sem elementos que sustentem essa afirmação; </w:t>
            </w:r>
          </w:p>
          <w:p>
            <w:pPr>
              <w:pStyle w:val="ListBullet"/>
            </w:pPr>
            <w:r>
              <w:t xml:space="preserve"> que toda diferença de redação corresponda a diferença material; </w:t>
            </w:r>
          </w:p>
          <w:p>
            <w:pPr>
              <w:pStyle w:val="ListBullet"/>
            </w:pPr>
            <w:r>
              <w:t xml:space="preserve"> que eventual irregularidade produza automaticamente nulidade; </w:t>
            </w:r>
          </w:p>
          <w:p>
            <w:pPr>
              <w:pStyle w:val="ListBullet"/>
            </w:pPr>
            <w:r>
              <w:t>que tenha ocorrido fraude, dolo, crime ou má-fé;</w:t>
            </w:r>
          </w:p>
          <w:p>
            <w:pPr>
              <w:pStyle w:val="ListBullet"/>
            </w:pPr>
            <w:r>
              <w:t xml:space="preserve"> que o Ministério Público do Trabalho deva substituir a decisão política da categoria. </w:t>
            </w:r>
          </w:p>
          <w:p>
            <w:r>
              <w:t xml:space="preserve"> O pedido consiste essencialmente na </w:t>
            </w:r>
            <w:r>
              <w:rPr>
                <w:b/>
              </w:rPr>
              <w:t>investigação objetiva dos fatos e documentos</w:t>
            </w:r>
            <w:r>
              <w:t xml:space="preserve"> para verificar se o processo concreto observou as condições juridicamente aplicáveis à formação da vontade coletiva. </w:t>
            </w:r>
          </w:p>
        </w:tc>
      </w:tr>
    </w:tbl>
    <w:p>
      <w:pPr>
        <w:spacing w:after="20"/>
      </w:pPr>
    </w:p>
    <w:p>
      <w:pPr>
        <w:pStyle w:val="Heading1"/>
      </w:pPr>
      <w:r>
        <w:t>XIV — CONCLUSÃO</w:t>
      </w:r>
    </w:p>
    <w:p>
      <w:r>
        <w:t xml:space="preserve"> A negociação coletiva possui elevada relevância constitucional e pode produzir efeitos significativos sobre a vida profissional e econômica dos trabalhadores. </w:t>
      </w:r>
    </w:p>
    <w:p>
      <w:r>
        <w:t xml:space="preserve"> Exatamente por essa razão, considera-se pertinente esclarecer se, no caso narrado, a decisão formalmente atribuída à categoria foi formada mediante condições efetivas de conhecimento, discussão, participação e deliberação sobre o objeto submetido à votação. </w:t>
      </w:r>
    </w:p>
    <w:p>
      <w:r>
        <w:rPr>
          <w:b/>
        </w:rPr>
        <w:t>Não se pede ao Estado que decida pela categoria.</w:t>
      </w:r>
    </w:p>
    <w:p>
      <w:r>
        <w:rPr>
          <w:b/>
        </w:rPr>
        <w:t>Pede-se que seja investigado se a categoria teve condições</w:t>
        <w:br/>
        <w:t xml:space="preserve">          reais de decidir por si própria.</w:t>
      </w:r>
    </w:p>
    <w:p>
      <w:r>
        <w:rPr>
          <w:rStyle w:val="Placeholder"/>
        </w:rPr>
        <w:t>[CIDADE]</w:t>
      </w:r>
      <w:r>
        <w:t xml:space="preserve">, </w:t>
      </w:r>
      <w:r>
        <w:rPr>
          <w:rStyle w:val="Placeholder"/>
        </w:rPr>
        <w:t>[DATA]</w:t>
      </w:r>
      <w:r>
        <w:t xml:space="preserve">. </w:t>
      </w:r>
    </w:p>
    <w:p>
      <w:r>
        <w:t xml:space="preserve"> ___________________________________________</w:t>
      </w:r>
      <w:r>
        <w:br/>
      </w:r>
      <w:r>
        <w:rPr>
          <w:rStyle w:val="Placeholder"/>
        </w:rPr>
        <w:t>[NOME DO/A REPRESENTANTE]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6F8"/>
            <w:tcBorders>
              <w:top w:val="single" w:sz="4" w:color="7F8C8D"/>
              <w:left w:val="single" w:sz="4" w:color="7F8C8D"/>
              <w:bottom w:val="single" w:sz="4" w:color="7F8C8D"/>
              <w:right w:val="single" w:sz="4" w:color="7F8C8D"/>
              <w:insideH w:val="single" w:sz="4" w:color="7F8C8D"/>
              <w:insideV w:val="single" w:sz="4" w:color="7F8C8D"/>
            </w:tcBorders>
            <w:vAlign w:val="center"/>
          </w:tcPr>
          <w:p>
            <w:pPr>
              <w:pStyle w:val="Heading2"/>
            </w:pPr>
            <w:r>
              <w:t>Antes de protocolar</w:t>
            </w:r>
          </w:p>
          <w:p>
            <w:r>
              <w:t xml:space="preserve"> Revise todo o documento. Exclua hipóteses alternativas que não correspondam ao seu caso, substitua todos os campos entre colchetes e confira se cada afirmação factual possui suporte nos documentos anexados. </w:t>
            </w:r>
          </w:p>
          <w:p>
            <w:r>
              <w:t xml:space="preserve"> Se determinado fato ainda é desconhecido, diga que ele precisa ser esclarecido. Não transforme ausência de informação em certeza. 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 xml:space="preserve">Classe e Massas • 2026  |  Modelo orientativo - adapte aos fatos e documentos do caso  |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A5A5A"/>
        <w:sz w:val="16"/>
      </w:rPr>
      <w:t>CLASSE E MASSAS  |  MODELO NACIONAL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1F374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Placeholder">
    <w:name w:val="Placeholder"/>
    <w:rPr>
      <w:b/>
      <w:color w:val="1F4E79"/>
    </w:rPr>
  </w:style>
  <w:style w:type="character" w:customStyle="1" w:styleId="SmallNote">
    <w:name w:val="SmallNote"/>
    <w:rPr>
      <w:i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Nacional de Representação ao MPT</dc:title>
  <dc:subject>Modelo editável de notícia de fato/representação ao Ministério Público do Trabalho</dc:subject>
  <dc:creator>Classe e Massas</dc:creator>
  <cp:keywords>MPT, representação, bancários, CCT, ACT, assembleia sindical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