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0"/>
        </w:rPr>
        <w:t>OBSERVATÓRIO DO</w:t>
        <w:br/>
        <w:t>MOVIMENTO SINDICAL BANCÁRIO</w:t>
      </w:r>
    </w:p>
    <w:p>
      <w:pPr>
        <w:jc w:val="center"/>
      </w:pPr>
      <w:r>
        <w:rPr>
          <w:b/>
          <w:sz w:val="32"/>
        </w:rPr>
        <w:t>Diretriz Canônica de Arquitetura, Dados e Execução no Codex</w:t>
      </w:r>
    </w:p>
    <w:p>
      <w:pPr>
        <w:jc w:val="center"/>
      </w:pPr>
      <w:r>
        <w:rPr>
          <w:i/>
          <w:sz w:val="22"/>
        </w:rPr>
        <w:t>Complemento e evolução do Documento Canônico de Fundação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896"/>
            <w:vAlign w:val="center"/>
          </w:tcPr>
          <w:p>
            <w:r>
              <w:t>2.0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896"/>
            <w:vAlign w:val="center"/>
          </w:tcPr>
          <w:p>
            <w:r>
              <w:t>7 de setembro de 2026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896"/>
            <w:vAlign w:val="center"/>
          </w:tcPr>
          <w:p>
            <w:r>
              <w:t>Diretriz arquitetural aprovada para continuidade do projeto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896"/>
            <w:vAlign w:val="center"/>
          </w:tcPr>
          <w:p>
            <w:r>
              <w:t>Classe e Massas / Observatório do Movimento Sindical Bancário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b/>
              </w:rPr>
              <w:t>Finalidade</w:t>
            </w:r>
          </w:p>
        </w:tc>
        <w:tc>
          <w:tcPr>
            <w:tcW w:type="dxa" w:w="4896"/>
            <w:vAlign w:val="center"/>
          </w:tcPr>
          <w:p>
            <w:r>
              <w:t>Preservar decisões, orientar o Codex e impedir deriva arquitetural ou epistemológica</w:t>
            </w:r>
          </w:p>
        </w:tc>
      </w:tr>
    </w:tbl>
    <w:p>
      <w:r>
        <w:br w:type="page"/>
      </w:r>
    </w:p>
    <w:p>
      <w:pPr>
        <w:pStyle w:val="Heading1"/>
      </w:pPr>
      <w:r>
        <w:t>1. Função deste documento</w:t>
      </w:r>
    </w:p>
    <w:p>
      <w:r>
        <w:t>Este documento registra as decisões arquiteturais tomadas após a fundação do Observatório do Movimento Sindical Bancário e deve ser tratado como orientação persistente para qualquer modelo de IA, agente de programação ou colaborador que trabalhe no repositório.</w:t>
      </w:r>
    </w:p>
    <w:p>
      <w:r>
        <w:t>Ele não substitui o Documento Canônico de Fundação, Objeto, Método e Programa de Pesquisa. Os dois documentos são complementares: o primeiro fixa missão, objeto, método e programa de pesquisa; este fixa a arquitetura digital, o padrão dos dossiês sindicais, a camada de dados e as regras de execução.</w:t>
      </w:r>
    </w:p>
    <w:p>
      <w:r>
        <w:t>Regra de precedência: nenhuma implementação técnica pode alterar silenciosamente os princípios metodológicos ou epistemológicos do Documento Canônico de Fundação. Mudanças estruturais relevantes exigem decisão explícita e atualização da documentação canônica.</w:t>
      </w:r>
    </w:p>
    <w:p>
      <w:pPr>
        <w:pStyle w:val="Heading1"/>
      </w:pPr>
      <w:r>
        <w:t>2. Decisão de ambiente: Notebook + Codex</w:t>
      </w:r>
    </w:p>
    <w:p>
      <w:r>
        <w:t>A continuidade estrutural do Observatório deve ocorrer preferencialmente no Notebook, utilizando o Codex como ambiente principal de implementação, manutenção, automação, validação e evolução do repositório.</w:t>
      </w:r>
    </w:p>
    <w:p>
      <w:r>
        <w:t>Justificativa: o Observatório deixou de ser apenas uma seção estática do site. Ele passa a combinar publicação web, acervo documental, dados históricos estruturados, geração padronizada de dossiês, validação de esquemas, análises intra-sindicais e comparações inter-sindicais. Esse conjunto caracteriza um projeto de software e dados de complexidade crescente.</w:t>
      </w:r>
    </w:p>
    <w:p>
      <w:pPr>
        <w:pStyle w:val="ListBullet"/>
      </w:pPr>
      <w:r>
        <w:t>Chat/Projects: contexto, arquitetura, debate metodológico, decisões e documentação.</w:t>
      </w:r>
    </w:p>
    <w:p>
      <w:pPr>
        <w:pStyle w:val="ListBullet"/>
      </w:pPr>
      <w:r>
        <w:t>Codex no Notebook: implementação, refatoração, scripts, validações, testes, automações e manutenção do repositório.</w:t>
      </w:r>
    </w:p>
    <w:p>
      <w:pPr>
        <w:pStyle w:val="ListBullet"/>
      </w:pPr>
      <w:r>
        <w:t>Git/GitHub: fonte compartilhada de versionamento e sincronização entre dispositivos.</w:t>
      </w:r>
    </w:p>
    <w:p>
      <w:pPr>
        <w:pStyle w:val="ListBullet"/>
      </w:pPr>
      <w:r>
        <w:t>Site Classe e Massas: camada pública de publicação dos resultados aprovados.</w:t>
      </w:r>
    </w:p>
    <w:p>
      <w:r>
        <w:t>O Codex deve trabalhar sob versionamento Git e ler as diretrizes persistentes do repositório antes de editar arquivos. Recomenda-se criar, em etapa própria, um AGENTS.md na raiz adequada, resumindo as regras operacionais e apontando para estes documentos canônicos.</w:t>
      </w:r>
    </w:p>
    <w:p>
      <w:pPr>
        <w:pStyle w:val="Heading1"/>
      </w:pPr>
      <w:r>
        <w:t>3. Princípio arquitetural central: três camadas</w:t>
      </w:r>
    </w:p>
    <w:p>
      <w:pPr>
        <w:pStyle w:val="Heading2"/>
      </w:pPr>
      <w:r>
        <w:t>3.1 Fontes documentais</w:t>
      </w:r>
    </w:p>
    <w:p>
      <w:r>
        <w:t>São os documentos originais ou cópias preservadas: estatutos, atas, editais, chapas, resultados eleitorais, teses, resoluções, jornais, boletins, editais de assembleia, atas de assembleia, instrumentos coletivos, documentos de registro sindical, páginas arquivadas e demais evidências.</w:t>
      </w:r>
    </w:p>
    <w:p>
      <w:pPr>
        <w:pStyle w:val="Heading2"/>
      </w:pPr>
      <w:r>
        <w:t>3.2 Dados estruturados</w:t>
      </w:r>
    </w:p>
    <w:p>
      <w:r>
        <w:t>Os fatos extraídos das fontes devem ser registrados em JSON Lines (.jsonl), com esquemas comuns, identificadores estáveis, datas, proveniência e estado documental. Essa camada é a memória computacional do Observatório.</w:t>
      </w:r>
    </w:p>
    <w:p>
      <w:pPr>
        <w:pStyle w:val="Heading2"/>
      </w:pPr>
      <w:r>
        <w:t>3.3 Documentos canônicos e publicação</w:t>
      </w:r>
    </w:p>
    <w:p>
      <w:r>
        <w:t>Os documentos canônicos destinados à leitura humana devem ser HTML. Eles sintetizam e interpretam os dados documentados, preservando rastreabilidade até os registros estruturados e as fontes originais.</w:t>
      </w:r>
    </w:p>
    <w:p>
      <w:r>
        <w:t>Cadeia de rastreabilidade obrigatória: FONTE ORIGINAL → REGISTRO JSONL → DOCUMENTO CANÔNICO HTML → ANÁLISE COMPARATIVA / MAPA / ARTIGO.</w:t>
      </w:r>
    </w:p>
    <w:p>
      <w:pPr>
        <w:pStyle w:val="Heading1"/>
      </w:pPr>
      <w:r>
        <w:t>4. Regra de formatos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Formato principal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2448"/>
          </w:tcPr>
          <w:p>
            <w:r>
              <w:t>Publicação canônica</w:t>
            </w:r>
          </w:p>
        </w:tc>
        <w:tc>
          <w:tcPr>
            <w:tcW w:type="dxa" w:w="2448"/>
          </w:tcPr>
          <w:p>
            <w:r>
              <w:t>.html</w:t>
            </w:r>
          </w:p>
        </w:tc>
        <w:tc>
          <w:tcPr>
            <w:tcW w:type="dxa" w:w="2448"/>
          </w:tcPr>
          <w:p>
            <w:r>
              <w:t>Leitura humana e publicação web</w:t>
            </w:r>
          </w:p>
        </w:tc>
        <w:tc>
          <w:tcPr>
            <w:tcW w:type="dxa" w:w="2448"/>
          </w:tcPr>
          <w:p>
            <w:r>
              <w:t>Não usar Markdown como formato canônico dos dossiês.</w:t>
            </w:r>
          </w:p>
        </w:tc>
      </w:tr>
      <w:tr>
        <w:tc>
          <w:tcPr>
            <w:tcW w:type="dxa" w:w="2448"/>
          </w:tcPr>
          <w:p>
            <w:r>
              <w:t>Dados históricos</w:t>
            </w:r>
          </w:p>
        </w:tc>
        <w:tc>
          <w:tcPr>
            <w:tcW w:type="dxa" w:w="2448"/>
          </w:tcPr>
          <w:p>
            <w:r>
              <w:t>.jsonl</w:t>
            </w:r>
          </w:p>
        </w:tc>
        <w:tc>
          <w:tcPr>
            <w:tcW w:type="dxa" w:w="2448"/>
          </w:tcPr>
          <w:p>
            <w:r>
              <w:t>Análise temporal e comparativa</w:t>
            </w:r>
          </w:p>
        </w:tc>
        <w:tc>
          <w:tcPr>
            <w:tcW w:type="dxa" w:w="2448"/>
          </w:tcPr>
          <w:p>
            <w:r>
              <w:t>Mesmo esquema para todos os sindicatos.</w:t>
            </w:r>
          </w:p>
        </w:tc>
      </w:tr>
      <w:tr>
        <w:tc>
          <w:tcPr>
            <w:tcW w:type="dxa" w:w="2448"/>
          </w:tcPr>
          <w:p>
            <w:r>
              <w:t>Fontes</w:t>
            </w:r>
          </w:p>
        </w:tc>
        <w:tc>
          <w:tcPr>
            <w:tcW w:type="dxa" w:w="2448"/>
          </w:tcPr>
          <w:p>
            <w:r>
              <w:t>formato original</w:t>
            </w:r>
          </w:p>
        </w:tc>
        <w:tc>
          <w:tcPr>
            <w:tcW w:type="dxa" w:w="2448"/>
          </w:tcPr>
          <w:p>
            <w:r>
              <w:t>Evidência e preservação</w:t>
            </w:r>
          </w:p>
        </w:tc>
        <w:tc>
          <w:tcPr>
            <w:tcW w:type="dxa" w:w="2448"/>
          </w:tcPr>
          <w:p>
            <w:r>
              <w:t>Nunca sobrescrever versões históricas.</w:t>
            </w:r>
          </w:p>
        </w:tc>
      </w:tr>
      <w:tr>
        <w:tc>
          <w:tcPr>
            <w:tcW w:type="dxa" w:w="2448"/>
          </w:tcPr>
          <w:p>
            <w:r>
              <w:t>Diretrizes institucionais</w:t>
            </w:r>
          </w:p>
        </w:tc>
        <w:tc>
          <w:tcPr>
            <w:tcW w:type="dxa" w:w="2448"/>
          </w:tcPr>
          <w:p>
            <w:r>
              <w:t>.docx + orientação no repositório</w:t>
            </w:r>
          </w:p>
        </w:tc>
        <w:tc>
          <w:tcPr>
            <w:tcW w:type="dxa" w:w="2448"/>
          </w:tcPr>
          <w:p>
            <w:r>
              <w:t>Memória arquitetural e governança</w:t>
            </w:r>
          </w:p>
        </w:tc>
        <w:tc>
          <w:tcPr>
            <w:tcW w:type="dxa" w:w="2448"/>
          </w:tcPr>
          <w:p>
            <w:r>
              <w:t>Mudanças relevantes devem ser documentadas.</w:t>
            </w:r>
          </w:p>
        </w:tc>
      </w:tr>
    </w:tbl>
    <w:p>
      <w:pPr>
        <w:pStyle w:val="Heading1"/>
      </w:pPr>
      <w:r>
        <w:t>5. Unidade fundamental: dossiê sindical padronizado</w:t>
      </w:r>
    </w:p>
    <w:p>
      <w:r>
        <w:t>Cada sindicato pesquisado deve possuir um dossiê próprio, mas todos os dossiês devem nascer da mesma arquitetura. O objetivo é permitir leitura individual de uma entidade e, simultaneamente, comparação nacional entre entidades.</w:t>
      </w:r>
    </w:p>
    <w:p>
      <w:r>
        <w:t>Exemplo de estrutura lógica para o Sindicato dos Bancários e Financiários de São Paulo, Osasco e Região:</w:t>
      </w:r>
    </w:p>
    <w:p>
      <w:r>
        <w:rPr>
          <w:rFonts w:ascii="Consolas" w:hAnsi="Consolas"/>
          <w:sz w:val="17"/>
        </w:rPr>
        <w:t>observatorio/sindicatos/sao-paulo-osasco-regiao/</w:t>
      </w:r>
    </w:p>
    <w:p>
      <w:r>
        <w:rPr>
          <w:rFonts w:ascii="Consolas" w:hAnsi="Consolas"/>
          <w:sz w:val="17"/>
        </w:rPr>
        <w:t>├── index.html</w:t>
      </w:r>
    </w:p>
    <w:p>
      <w:r>
        <w:rPr>
          <w:rFonts w:ascii="Consolas" w:hAnsi="Consolas"/>
          <w:sz w:val="17"/>
        </w:rPr>
        <w:t>├── canonicos/</w:t>
      </w:r>
    </w:p>
    <w:p>
      <w:r>
        <w:rPr>
          <w:rFonts w:ascii="Consolas" w:hAnsi="Consolas"/>
          <w:sz w:val="17"/>
        </w:rPr>
        <w:t>│   ├── identificacao-institucional.html</w:t>
      </w:r>
    </w:p>
    <w:p>
      <w:r>
        <w:rPr>
          <w:rFonts w:ascii="Consolas" w:hAnsi="Consolas"/>
          <w:sz w:val="17"/>
        </w:rPr>
        <w:t>│   ├── estatuto-social.html</w:t>
      </w:r>
    </w:p>
    <w:p>
      <w:r>
        <w:rPr>
          <w:rFonts w:ascii="Consolas" w:hAnsi="Consolas"/>
          <w:sz w:val="17"/>
        </w:rPr>
        <w:t>│   ├── base-territorial.html</w:t>
      </w:r>
    </w:p>
    <w:p>
      <w:r>
        <w:rPr>
          <w:rFonts w:ascii="Consolas" w:hAnsi="Consolas"/>
          <w:sz w:val="17"/>
        </w:rPr>
        <w:t>│   ├── direcao-sindical.html</w:t>
      </w:r>
    </w:p>
    <w:p>
      <w:r>
        <w:rPr>
          <w:rFonts w:ascii="Consolas" w:hAnsi="Consolas"/>
          <w:sz w:val="17"/>
        </w:rPr>
        <w:t>│   ├── eleicoes.html</w:t>
      </w:r>
    </w:p>
    <w:p>
      <w:r>
        <w:rPr>
          <w:rFonts w:ascii="Consolas" w:hAnsi="Consolas"/>
          <w:sz w:val="17"/>
        </w:rPr>
        <w:t>│   ├── congressos-e-teses.html</w:t>
      </w:r>
    </w:p>
    <w:p>
      <w:r>
        <w:rPr>
          <w:rFonts w:ascii="Consolas" w:hAnsi="Consolas"/>
          <w:sz w:val="17"/>
        </w:rPr>
        <w:t>│   └── historia.html</w:t>
      </w:r>
    </w:p>
    <w:p>
      <w:r>
        <w:rPr>
          <w:rFonts w:ascii="Consolas" w:hAnsi="Consolas"/>
          <w:sz w:val="17"/>
        </w:rPr>
        <w:t>├── dados/</w:t>
      </w:r>
    </w:p>
    <w:p>
      <w:r>
        <w:rPr>
          <w:rFonts w:ascii="Consolas" w:hAnsi="Consolas"/>
          <w:sz w:val="17"/>
        </w:rPr>
        <w:t>│   ├── identificacao-institucional.jsonl</w:t>
      </w:r>
    </w:p>
    <w:p>
      <w:r>
        <w:rPr>
          <w:rFonts w:ascii="Consolas" w:hAnsi="Consolas"/>
          <w:sz w:val="17"/>
        </w:rPr>
        <w:t>│   ├── base-territorial.jsonl</w:t>
      </w:r>
    </w:p>
    <w:p>
      <w:r>
        <w:rPr>
          <w:rFonts w:ascii="Consolas" w:hAnsi="Consolas"/>
          <w:sz w:val="17"/>
        </w:rPr>
        <w:t>│   ├── direcoes.jsonl</w:t>
      </w:r>
    </w:p>
    <w:p>
      <w:r>
        <w:rPr>
          <w:rFonts w:ascii="Consolas" w:hAnsi="Consolas"/>
          <w:sz w:val="17"/>
        </w:rPr>
        <w:t>│   ├── eleicoes.jsonl</w:t>
      </w:r>
    </w:p>
    <w:p>
      <w:r>
        <w:rPr>
          <w:rFonts w:ascii="Consolas" w:hAnsi="Consolas"/>
          <w:sz w:val="17"/>
        </w:rPr>
        <w:t>│   ├── congressos.jsonl</w:t>
      </w:r>
    </w:p>
    <w:p>
      <w:r>
        <w:rPr>
          <w:rFonts w:ascii="Consolas" w:hAnsi="Consolas"/>
          <w:sz w:val="17"/>
        </w:rPr>
        <w:t>│   ├── teses.jsonl</w:t>
      </w:r>
    </w:p>
    <w:p>
      <w:r>
        <w:rPr>
          <w:rFonts w:ascii="Consolas" w:hAnsi="Consolas"/>
          <w:sz w:val="17"/>
        </w:rPr>
        <w:t>│   ├── assembleias.jsonl</w:t>
      </w:r>
    </w:p>
    <w:p>
      <w:r>
        <w:rPr>
          <w:rFonts w:ascii="Consolas" w:hAnsi="Consolas"/>
          <w:sz w:val="17"/>
        </w:rPr>
        <w:t>│   ├── negociacoes.jsonl</w:t>
      </w:r>
    </w:p>
    <w:p>
      <w:r>
        <w:rPr>
          <w:rFonts w:ascii="Consolas" w:hAnsi="Consolas"/>
          <w:sz w:val="17"/>
        </w:rPr>
        <w:t>│   └── publicacoes.jsonl</w:t>
      </w:r>
    </w:p>
    <w:p>
      <w:r>
        <w:rPr>
          <w:rFonts w:ascii="Consolas" w:hAnsi="Consolas"/>
          <w:sz w:val="17"/>
        </w:rPr>
        <w:t>└── fontes/</w:t>
      </w:r>
    </w:p>
    <w:p>
      <w:r>
        <w:rPr>
          <w:rFonts w:ascii="Consolas" w:hAnsi="Consolas"/>
          <w:sz w:val="17"/>
        </w:rPr>
        <w:t xml:space="preserve">    ├── estatutos/</w:t>
      </w:r>
    </w:p>
    <w:p>
      <w:r>
        <w:rPr>
          <w:rFonts w:ascii="Consolas" w:hAnsi="Consolas"/>
          <w:sz w:val="17"/>
        </w:rPr>
        <w:t xml:space="preserve">    ├── eleicoes/</w:t>
      </w:r>
    </w:p>
    <w:p>
      <w:r>
        <w:rPr>
          <w:rFonts w:ascii="Consolas" w:hAnsi="Consolas"/>
          <w:sz w:val="17"/>
        </w:rPr>
        <w:t xml:space="preserve">    ├── congressos/</w:t>
      </w:r>
    </w:p>
    <w:p>
      <w:r>
        <w:rPr>
          <w:rFonts w:ascii="Consolas" w:hAnsi="Consolas"/>
          <w:sz w:val="17"/>
        </w:rPr>
        <w:t xml:space="preserve">    ├── diretorias/</w:t>
      </w:r>
    </w:p>
    <w:p>
      <w:r>
        <w:rPr>
          <w:rFonts w:ascii="Consolas" w:hAnsi="Consolas"/>
          <w:sz w:val="17"/>
        </w:rPr>
        <w:t xml:space="preserve">    ├── assembleias/</w:t>
      </w:r>
    </w:p>
    <w:p>
      <w:r>
        <w:rPr>
          <w:rFonts w:ascii="Consolas" w:hAnsi="Consolas"/>
          <w:sz w:val="17"/>
        </w:rPr>
        <w:t xml:space="preserve">    ├── negociacoes/</w:t>
      </w:r>
    </w:p>
    <w:p>
      <w:r>
        <w:rPr>
          <w:rFonts w:ascii="Consolas" w:hAnsi="Consolas"/>
          <w:sz w:val="17"/>
        </w:rPr>
        <w:t xml:space="preserve">    ├── publicacoes/</w:t>
      </w:r>
    </w:p>
    <w:p>
      <w:r>
        <w:rPr>
          <w:rFonts w:ascii="Consolas" w:hAnsi="Consolas"/>
          <w:sz w:val="17"/>
        </w:rPr>
        <w:t xml:space="preserve">    └── base-territorial/</w:t>
      </w:r>
    </w:p>
    <w:p>
      <w:pPr>
        <w:pStyle w:val="Heading1"/>
      </w:pPr>
      <w:r>
        <w:t>6. Documentos canônicos específicos de cada sindicato</w:t>
      </w:r>
    </w:p>
    <w:p>
      <w:pPr>
        <w:pStyle w:val="ListBullet"/>
      </w:pPr>
      <w:r>
        <w:t>Identificação institucional: nome jurídico, nome político, CNPJ, registro sindical, sede, filiações, abrangência e identificadores.</w:t>
      </w:r>
    </w:p>
    <w:p>
      <w:pPr>
        <w:pStyle w:val="ListBullet"/>
      </w:pPr>
      <w:r>
        <w:t>Estatuto social: versões históricas, vigência, órgãos, competências, regras eleitorais, assembleares e de representação.</w:t>
      </w:r>
    </w:p>
    <w:p>
      <w:pPr>
        <w:pStyle w:val="ListBullet"/>
      </w:pPr>
      <w:r>
        <w:t>Base territorial: municípios, categorias abrangidas, alterações históricas e documentação comprobatória.</w:t>
      </w:r>
    </w:p>
    <w:p>
      <w:pPr>
        <w:pStyle w:val="ListBullet"/>
      </w:pPr>
      <w:r>
        <w:t>Direção sindical: composição por mandato, cargos, dirigentes e competências estatutárias.</w:t>
      </w:r>
    </w:p>
    <w:p>
      <w:pPr>
        <w:pStyle w:val="ListBullet"/>
      </w:pPr>
      <w:r>
        <w:t>Eleições: cronologia, chapas, regras, eleitorado, participação, resultados, atas e controvérsias documentadas.</w:t>
      </w:r>
    </w:p>
    <w:p>
      <w:pPr>
        <w:pStyle w:val="ListBullet"/>
      </w:pPr>
      <w:r>
        <w:t>Congressos e teses: congressos, delegações, teses, resoluções, correntes e posições políticas documentadas.</w:t>
      </w:r>
    </w:p>
    <w:p>
      <w:pPr>
        <w:pStyle w:val="ListBullet"/>
      </w:pPr>
      <w:r>
        <w:t>História: reconstrução cronológica institucional, política, sindical e documental.</w:t>
      </w:r>
    </w:p>
    <w:p>
      <w:r>
        <w:t>Documentos canônicos não substituem as fontes. Devem funcionar como sínteses auditáveis e historicamente versionáveis.</w:t>
      </w:r>
    </w:p>
    <w:p>
      <w:pPr>
        <w:pStyle w:val="Heading1"/>
      </w:pPr>
      <w:r>
        <w:t>7. JSON Lines como espinha dorsal analítica</w:t>
      </w:r>
    </w:p>
    <w:p>
      <w:r>
        <w:t>O JSONL é adotado como formato estrutural preferencial para séries históricas e análises comparativas. Cada linha deve representar uma unidade de observação suficientemente autônoma e conter identificadores que permitam ligação com sindicato, período, fonte e demais entidades.</w:t>
      </w:r>
    </w:p>
    <w:p>
      <w:r>
        <w:t>Os esquemas não podem ser inventados isoladamente por sindicato. São esquemas nacionais do Observatório. O mesmo campo deve ter o mesmo significado em São Paulo, Bahia, Brasília, Rio de Janeiro ou qualquer outro dossiê.</w:t>
      </w:r>
    </w:p>
    <w:p>
      <w:pPr>
        <w:pStyle w:val="ListBullet"/>
      </w:pPr>
      <w:r>
        <w:t>Identificador estável do sindicato (sindicato_id), independente de mudanças futuras no nome político ou jurídico.</w:t>
      </w:r>
    </w:p>
    <w:p>
      <w:pPr>
        <w:pStyle w:val="ListBullet"/>
      </w:pPr>
      <w:r>
        <w:t>Datas em formato padronizado e possibilidade explícita de data desconhecida ou aproximada.</w:t>
      </w:r>
    </w:p>
    <w:p>
      <w:pPr>
        <w:pStyle w:val="ListBullet"/>
      </w:pPr>
      <w:r>
        <w:t>Identificador de fonte (fonte_id) e proveniência obrigatória para afirmações documentais.</w:t>
      </w:r>
    </w:p>
    <w:p>
      <w:pPr>
        <w:pStyle w:val="ListBullet"/>
      </w:pPr>
      <w:r>
        <w:t>Separação entre dado observado, cálculo derivado, hipótese e interpretação.</w:t>
      </w:r>
    </w:p>
    <w:p>
      <w:pPr>
        <w:pStyle w:val="ListBullet"/>
      </w:pPr>
      <w:r>
        <w:t>Campos controlados para grau/status documental.</w:t>
      </w:r>
    </w:p>
    <w:p>
      <w:pPr>
        <w:pStyle w:val="ListBullet"/>
      </w:pPr>
      <w:r>
        <w:t>Preservação de versões e correções sem apagar a história do dado.</w:t>
      </w:r>
    </w:p>
    <w:p>
      <w:pPr>
        <w:pStyle w:val="ListBullet"/>
      </w:pPr>
      <w:r>
        <w:t>Validação automatizada antes de agregações nacionais.</w:t>
      </w:r>
    </w:p>
    <w:p>
      <w:pPr>
        <w:pStyle w:val="Heading1"/>
      </w:pPr>
      <w:r>
        <w:t>8. Pasta nacional de esquemas e dados consolidados</w:t>
      </w:r>
    </w:p>
    <w:p>
      <w:r>
        <w:t>A raiz do Observatório deve prever uma pasta esquemas/ para contratos de dados e uma pasta dados/ para conjuntos nacionais derivados. Os arquivos locais de cada sindicato permanecem em sindicatos/&lt;id&gt;/dados/.</w:t>
      </w:r>
    </w:p>
    <w:p>
      <w:r>
        <w:rPr>
          <w:rFonts w:ascii="Consolas" w:hAnsi="Consolas"/>
          <w:sz w:val="18"/>
        </w:rPr>
        <w:t>observatorio/</w:t>
      </w:r>
    </w:p>
    <w:p>
      <w:r>
        <w:rPr>
          <w:rFonts w:ascii="Consolas" w:hAnsi="Consolas"/>
          <w:sz w:val="18"/>
        </w:rPr>
        <w:t>├── esquemas/        # definição dos contratos e campos JSONL</w:t>
      </w:r>
    </w:p>
    <w:p>
      <w:r>
        <w:rPr>
          <w:rFonts w:ascii="Consolas" w:hAnsi="Consolas"/>
          <w:sz w:val="18"/>
        </w:rPr>
        <w:t>├── dados/           # datasets nacionais consolidados/derivados</w:t>
      </w:r>
    </w:p>
    <w:p>
      <w:r>
        <w:rPr>
          <w:rFonts w:ascii="Consolas" w:hAnsi="Consolas"/>
          <w:sz w:val="18"/>
        </w:rPr>
        <w:t>└── sindicatos/</w:t>
      </w:r>
    </w:p>
    <w:p>
      <w:r>
        <w:rPr>
          <w:rFonts w:ascii="Consolas" w:hAnsi="Consolas"/>
          <w:sz w:val="18"/>
        </w:rPr>
        <w:t xml:space="preserve">    └── &lt;sindicato_id&gt;/dados/   # registros próprios da entidade</w:t>
      </w:r>
    </w:p>
    <w:p>
      <w:pPr>
        <w:pStyle w:val="Heading1"/>
      </w:pPr>
      <w:r>
        <w:t>9. Gerador canônico de sindicatos</w:t>
      </w:r>
    </w:p>
    <w:p>
      <w:r>
        <w:t>Deve existir uma Pasta Geradora capaz de criar automaticamente um novo dossiê sindical com todas as subpastas e arquivos exigidos pelo padrão do Observatório.</w:t>
      </w:r>
    </w:p>
    <w:p>
      <w:r>
        <w:t>Estrutura proposta:</w:t>
      </w:r>
    </w:p>
    <w:p>
      <w:r>
        <w:rPr>
          <w:rFonts w:ascii="Consolas" w:hAnsi="Consolas"/>
          <w:sz w:val="18"/>
        </w:rPr>
        <w:t>observatorio/gerador-sindicato/</w:t>
      </w:r>
    </w:p>
    <w:p>
      <w:r>
        <w:rPr>
          <w:rFonts w:ascii="Consolas" w:hAnsi="Consolas"/>
          <w:sz w:val="18"/>
        </w:rPr>
        <w:t>├── criar-sindicato.sh (ou ferramenta equivalente multiplataforma)</w:t>
      </w:r>
    </w:p>
    <w:p>
      <w:r>
        <w:rPr>
          <w:rFonts w:ascii="Consolas" w:hAnsi="Consolas"/>
          <w:sz w:val="18"/>
        </w:rPr>
        <w:t>├── templates/</w:t>
      </w:r>
    </w:p>
    <w:p>
      <w:r>
        <w:rPr>
          <w:rFonts w:ascii="Consolas" w:hAnsi="Consolas"/>
          <w:sz w:val="18"/>
        </w:rPr>
        <w:t>│   ├── index.html</w:t>
      </w:r>
    </w:p>
    <w:p>
      <w:r>
        <w:rPr>
          <w:rFonts w:ascii="Consolas" w:hAnsi="Consolas"/>
          <w:sz w:val="18"/>
        </w:rPr>
        <w:t>│   ├── canonicos/*.html</w:t>
      </w:r>
    </w:p>
    <w:p>
      <w:r>
        <w:rPr>
          <w:rFonts w:ascii="Consolas" w:hAnsi="Consolas"/>
          <w:sz w:val="18"/>
        </w:rPr>
        <w:t>│   └── dados/*.jsonl</w:t>
      </w:r>
    </w:p>
    <w:p>
      <w:r>
        <w:rPr>
          <w:rFonts w:ascii="Consolas" w:hAnsi="Consolas"/>
          <w:sz w:val="18"/>
        </w:rPr>
        <w:t>└── documentação de uso</w:t>
      </w:r>
    </w:p>
    <w:p>
      <w:r>
        <w:t>O gerador deve receber ao menos um identificador estável e o nome oficial/político da entidade, criar a estrutura completa, preencher metadados iniciais e recusar sobrescrita de um sindicato já existente.</w:t>
      </w:r>
    </w:p>
    <w:p>
      <w:r>
        <w:t>Objetivo estratégico: eliminar deriva estrutural. Sindicato B, C ou Z deve nascer segundo o mesmo contrato do Sindicato A.</w:t>
      </w:r>
    </w:p>
    <w:p>
      <w:pPr>
        <w:pStyle w:val="Heading1"/>
      </w:pPr>
      <w:r>
        <w:t>10. Análise intra-sindical e inter-sindical</w:t>
      </w:r>
    </w:p>
    <w:p>
      <w:r>
        <w:t>A arquitetura deve servir a dois eixos simultâneos.</w:t>
      </w:r>
    </w:p>
    <w:p>
      <w:pPr>
        <w:pStyle w:val="Heading2"/>
      </w:pPr>
      <w:r>
        <w:t>10.1 Intra-sindical</w:t>
      </w:r>
    </w:p>
    <w:p>
      <w:r>
        <w:t>Reconstruir a evolução de um mesmo sindicato no tempo: estatutos, mudanças territoriais, diretorias, permanência/renovação de dirigentes, eleições, congressos, participação, posições negociais, assembleias e publicações.</w:t>
      </w:r>
    </w:p>
    <w:p>
      <w:pPr>
        <w:pStyle w:val="Heading2"/>
      </w:pPr>
      <w:r>
        <w:t>10.2 Inter-sindical</w:t>
      </w:r>
    </w:p>
    <w:p>
      <w:r>
        <w:t>Comparar sindicatos sob os mesmos conceitos: tamanho da base, sindicalização quando disponível, participação eleitoral/assemblear, composição e renovação de direções, regras estatutárias, filiações, representação política, comportamento negocial e demais variáveis documentáveis.</w:t>
      </w:r>
    </w:p>
    <w:p>
      <w:r>
        <w:t>Nenhuma comparação nacional deve misturar conceitos distintos. Trabalhadores na base territorial, sindicalizados e votantes/participantes são universos diferentes.</w:t>
      </w:r>
    </w:p>
    <w:p>
      <w:pPr>
        <w:pStyle w:val="Heading1"/>
      </w:pPr>
      <w:r>
        <w:t>11. Regras epistemológicas obrigatórias</w:t>
      </w:r>
    </w:p>
    <w:p>
      <w:pPr>
        <w:pStyle w:val="ListBullet"/>
      </w:pPr>
      <w:r>
        <w:t>Documentar antes de concluir.</w:t>
      </w:r>
    </w:p>
    <w:p>
      <w:pPr>
        <w:pStyle w:val="ListBullet"/>
      </w:pPr>
      <w:r>
        <w:t>Nunca preencher lacunas com plausibilidade.</w:t>
      </w:r>
    </w:p>
    <w:p>
      <w:pPr>
        <w:pStyle w:val="ListBullet"/>
      </w:pPr>
      <w:r>
        <w:t>Distinguir hipótese, estimativa, dado provisório e fato comprovado.</w:t>
      </w:r>
    </w:p>
    <w:p>
      <w:pPr>
        <w:pStyle w:val="ListBullet"/>
      </w:pPr>
      <w:r>
        <w:t>Preservar versões históricas de documentos e dados.</w:t>
      </w:r>
    </w:p>
    <w:p>
      <w:pPr>
        <w:pStyle w:val="ListBullet"/>
      </w:pPr>
      <w:r>
        <w:t>Registrar proveniência de toda afirmação relevante.</w:t>
      </w:r>
    </w:p>
    <w:p>
      <w:pPr>
        <w:pStyle w:val="ListBullet"/>
      </w:pPr>
      <w:r>
        <w:t>Ausência de notícia ou documento público não prova descumprimento estatutário.</w:t>
      </w:r>
    </w:p>
    <w:p>
      <w:pPr>
        <w:pStyle w:val="ListBullet"/>
      </w:pPr>
      <w:r>
        <w:t>Possível descumprimento só deve ser discutido com evidência positiva e análise jurídica.</w:t>
      </w:r>
    </w:p>
    <w:p>
      <w:pPr>
        <w:pStyle w:val="ListBullet"/>
      </w:pPr>
      <w:r>
        <w:t>Revisões devem corrigir o conhecimento sem apagar a trilha histórica.</w:t>
      </w:r>
    </w:p>
    <w:p>
      <w:pPr>
        <w:pStyle w:val="Heading1"/>
      </w:pPr>
      <w:r>
        <w:t>12. Direito Sindical como método de investigação</w:t>
      </w:r>
    </w:p>
    <w:p>
      <w:r>
        <w:t>O Direito Sindical integra o núcleo metodológico. Constituição, CLT, jurisprudência STF/TST, estatutos, registros sindicais, instrumentos coletivos e regras assembleares devem ser usados para determinar quem representa quem, em qual território, com qual mandato, quem delibera, negocia e assina, e quais competências pertencem a cada órgão ou dirigente.</w:t>
      </w:r>
    </w:p>
    <w:p>
      <w:r>
        <w:t>Matriz de fiscalização estatutária recomendada: Cargo → dirigente → competência estatutária → atos públicos identificados → documentos comprobatórios → período analisado.</w:t>
      </w:r>
    </w:p>
    <w:p>
      <w:r>
        <w:t>Classificações prudenciais: cumprimento documentalmente identificado; cumprimento parcialmente documentado; documentação pública insuficiente para avaliação.</w:t>
      </w:r>
    </w:p>
    <w:p>
      <w:pPr>
        <w:pStyle w:val="Heading1"/>
      </w:pPr>
      <w:r>
        <w:t>13. Mapas nacionais e hipóteses de concentração</w:t>
      </w:r>
    </w:p>
    <w:p>
      <w:r>
        <w:t>O Observatório pretende construir o Mapa do Poder Sindical Bancário (Top 1, Top 3, Top 10 e Top 20) e o Mapa da Representação Política. As estimativas discutidas durante a fundação — por exemplo, concentração aproximada em determinados grupos de sindicatos ou participação reduzida de sindicatos dirigidos por oposições — são hipóteses de pesquisa, não fatos publicados.</w:t>
      </w:r>
    </w:p>
    <w:p>
      <w:r>
        <w:t>Nenhum percentual desse tipo deve ser apresentado como fato antes de definição do denominador nacional, identificação das bases, documentação das fontes e validação dos cálculos.</w:t>
      </w:r>
    </w:p>
    <w:p>
      <w:pPr>
        <w:pStyle w:val="Heading1"/>
      </w:pPr>
      <w:r>
        <w:t>14. Governança para o Codex</w:t>
      </w:r>
    </w:p>
    <w:p>
      <w:pPr>
        <w:pStyle w:val="ListBullet"/>
      </w:pPr>
      <w:r>
        <w:t>Antes de alterar arquitetura, ler os documentos canônicos e a orientação persistente do repositório.</w:t>
      </w:r>
    </w:p>
    <w:p>
      <w:pPr>
        <w:pStyle w:val="ListBullet"/>
      </w:pPr>
      <w:r>
        <w:t>Não criar novos formatos ou nomenclaturas quando já existir padrão aprovado.</w:t>
      </w:r>
    </w:p>
    <w:p>
      <w:pPr>
        <w:pStyle w:val="ListBullet"/>
      </w:pPr>
      <w:r>
        <w:t>Não transformar hipóteses em dados.</w:t>
      </w:r>
    </w:p>
    <w:p>
      <w:pPr>
        <w:pStyle w:val="ListBullet"/>
      </w:pPr>
      <w:r>
        <w:t>Não alterar esquemas JSONL sem avaliar compatibilidade histórica e comparativa.</w:t>
      </w:r>
    </w:p>
    <w:p>
      <w:pPr>
        <w:pStyle w:val="ListBullet"/>
      </w:pPr>
      <w:r>
        <w:t>Não sobrescrever fontes ou versões históricas.</w:t>
      </w:r>
    </w:p>
    <w:p>
      <w:pPr>
        <w:pStyle w:val="ListBullet"/>
      </w:pPr>
      <w:r>
        <w:t>Fazer mudanças estruturais em etapas pequenas, auditáveis e versionadas.</w:t>
      </w:r>
    </w:p>
    <w:p>
      <w:pPr>
        <w:pStyle w:val="ListBullet"/>
      </w:pPr>
      <w:r>
        <w:t>Executar validações/testes antes de commit quando houver scripts ou dados estruturados.</w:t>
      </w:r>
    </w:p>
    <w:p>
      <w:pPr>
        <w:pStyle w:val="ListBullet"/>
      </w:pPr>
      <w:r>
        <w:t>Apresentar mudanças relevantes para aprovação humana antes de consolidá-las.</w:t>
      </w:r>
    </w:p>
    <w:p>
      <w:pPr>
        <w:pStyle w:val="ListBullet"/>
      </w:pPr>
      <w:r>
        <w:t>Manter Git como trilha de auditoria das alterações.</w:t>
      </w:r>
    </w:p>
    <w:p>
      <w:pPr>
        <w:pStyle w:val="Heading1"/>
      </w:pPr>
      <w:r>
        <w:t>15. Estado de transição Android → Notebook</w:t>
      </w:r>
    </w:p>
    <w:p>
      <w:r>
        <w:t>O trabalho realizado no Android/Termux pertence ao mesmo repositório Git Classe e Massas. Tudo que já foi commitado e enviado (push) ao remoto GitHub pode ser recuperado no Notebook por clone ou atualização do repositório.</w:t>
      </w:r>
    </w:p>
    <w:p>
      <w:r>
        <w:t>Atenção: alterações apenas locais no Android não existem ainda no GitHub. No momento desta diretriz, a nova árvore observatorio/ foi criada localmente e o DOCX de fundação foi copiado para observatorio/documentos/, mas essas mudanças precisam ser verificadas, adicionadas ao Git, commitadas e enviadas ao remoto antes da migração segura.</w:t>
      </w:r>
    </w:p>
    <w:p>
      <w:r>
        <w:t>Diretórios vazios não são rastreados pelo Git. Portanto, a simples existência local de subpastas vazias não garante sua presença no GitHub; elas precisam conter arquivos rastreados ou ser recriadas pelo gerador.</w:t>
      </w:r>
    </w:p>
    <w:p>
      <w:pPr>
        <w:pStyle w:val="Heading1"/>
      </w:pPr>
      <w:r>
        <w:t>16. Fluxo de migração recomendado</w:t>
      </w:r>
    </w:p>
    <w:p>
      <w:pPr>
        <w:pStyle w:val="ListBullet"/>
      </w:pPr>
      <w:r>
        <w:t>No Android: revisar git status e decidir exatamente quais arquivos do Observatório serão preservados.</w:t>
      </w:r>
    </w:p>
    <w:p>
      <w:pPr>
        <w:pStyle w:val="ListBullet"/>
      </w:pPr>
      <w:r>
        <w:t>Adicionar arquivos necessários, fazer commit e push para origin/main.</w:t>
      </w:r>
    </w:p>
    <w:p>
      <w:pPr>
        <w:pStyle w:val="ListBullet"/>
      </w:pPr>
      <w:r>
        <w:t>No Notebook: atualizar ou clonar o mesmo repositório a partir do GitHub.</w:t>
      </w:r>
    </w:p>
    <w:p>
      <w:pPr>
        <w:pStyle w:val="ListBullet"/>
      </w:pPr>
      <w:r>
        <w:t>Confirmar commit/hash e árvore antes de iniciar mudanças no Codex.</w:t>
      </w:r>
    </w:p>
    <w:p>
      <w:pPr>
        <w:pStyle w:val="ListBullet"/>
      </w:pPr>
      <w:r>
        <w:t>Criar a camada persistente de orientação do Codex (AGENTS.md) apontando para a documentação canônica.</w:t>
      </w:r>
    </w:p>
    <w:p>
      <w:pPr>
        <w:pStyle w:val="ListBullet"/>
      </w:pPr>
      <w:r>
        <w:t>Projetar e validar esquemas JSONL antes de povoar grandes volumes de dados.</w:t>
      </w:r>
    </w:p>
    <w:p>
      <w:pPr>
        <w:pStyle w:val="ListBullet"/>
      </w:pPr>
      <w:r>
        <w:t>Implementar o gerador de sindicatos somente depois de congelado o primeiro contrato arquitetural.</w:t>
      </w:r>
    </w:p>
    <w:p>
      <w:pPr>
        <w:pStyle w:val="ListBullet"/>
      </w:pPr>
      <w:r>
        <w:t>Gerar o primeiro dossiê real como teste de referência e validar a arquitetura antes de escalar ao Top 20.</w:t>
      </w:r>
    </w:p>
    <w:p>
      <w:pPr>
        <w:pStyle w:val="Heading1"/>
      </w:pPr>
      <w:r>
        <w:t>17. Estrutura-alvo conceitual da raiz</w:t>
      </w:r>
    </w:p>
    <w:p>
      <w:r>
        <w:rPr>
          <w:rFonts w:ascii="Consolas" w:hAnsi="Consolas"/>
          <w:sz w:val="18"/>
        </w:rPr>
        <w:t>observatorio/</w:t>
      </w:r>
    </w:p>
    <w:p>
      <w:r>
        <w:rPr>
          <w:rFonts w:ascii="Consolas" w:hAnsi="Consolas"/>
          <w:sz w:val="18"/>
        </w:rPr>
        <w:t>├── index.html</w:t>
      </w:r>
    </w:p>
    <w:p>
      <w:r>
        <w:rPr>
          <w:rFonts w:ascii="Consolas" w:hAnsi="Consolas"/>
          <w:sz w:val="18"/>
        </w:rPr>
        <w:t>├── documentos/</w:t>
      </w:r>
    </w:p>
    <w:p>
      <w:r>
        <w:rPr>
          <w:rFonts w:ascii="Consolas" w:hAnsi="Consolas"/>
          <w:sz w:val="18"/>
        </w:rPr>
        <w:t>├── metodologia/</w:t>
      </w:r>
    </w:p>
    <w:p>
      <w:r>
        <w:rPr>
          <w:rFonts w:ascii="Consolas" w:hAnsi="Consolas"/>
          <w:sz w:val="18"/>
        </w:rPr>
        <w:t>├── esquemas/</w:t>
      </w:r>
    </w:p>
    <w:p>
      <w:r>
        <w:rPr>
          <w:rFonts w:ascii="Consolas" w:hAnsi="Consolas"/>
          <w:sz w:val="18"/>
        </w:rPr>
        <w:t>├── dados/</w:t>
      </w:r>
    </w:p>
    <w:p>
      <w:r>
        <w:rPr>
          <w:rFonts w:ascii="Consolas" w:hAnsi="Consolas"/>
          <w:sz w:val="18"/>
        </w:rPr>
        <w:t>├── gerador-sindicato/</w:t>
      </w:r>
    </w:p>
    <w:p>
      <w:r>
        <w:rPr>
          <w:rFonts w:ascii="Consolas" w:hAnsi="Consolas"/>
          <w:sz w:val="18"/>
        </w:rPr>
        <w:t>├── mapas/</w:t>
      </w:r>
    </w:p>
    <w:p>
      <w:r>
        <w:rPr>
          <w:rFonts w:ascii="Consolas" w:hAnsi="Consolas"/>
          <w:sz w:val="18"/>
        </w:rPr>
        <w:t>├── sindicatos/</w:t>
      </w:r>
    </w:p>
    <w:p>
      <w:r>
        <w:rPr>
          <w:rFonts w:ascii="Consolas" w:hAnsi="Consolas"/>
          <w:sz w:val="18"/>
        </w:rPr>
        <w:t>├── representacao-politica/</w:t>
      </w:r>
    </w:p>
    <w:p>
      <w:r>
        <w:rPr>
          <w:rFonts w:ascii="Consolas" w:hAnsi="Consolas"/>
          <w:sz w:val="18"/>
        </w:rPr>
        <w:t>├── direito-sindical/</w:t>
      </w:r>
    </w:p>
    <w:p>
      <w:r>
        <w:rPr>
          <w:rFonts w:ascii="Consolas" w:hAnsi="Consolas"/>
          <w:sz w:val="18"/>
        </w:rPr>
        <w:t>├── fontes/</w:t>
      </w:r>
    </w:p>
    <w:p>
      <w:r>
        <w:rPr>
          <w:rFonts w:ascii="Consolas" w:hAnsi="Consolas"/>
          <w:sz w:val="18"/>
        </w:rPr>
        <w:t>├── pesquisas/</w:t>
      </w:r>
    </w:p>
    <w:p>
      <w:r>
        <w:rPr>
          <w:rFonts w:ascii="Consolas" w:hAnsi="Consolas"/>
          <w:sz w:val="18"/>
        </w:rPr>
        <w:t>└── downloads/</w:t>
      </w:r>
    </w:p>
    <w:p>
      <w:pPr>
        <w:pStyle w:val="Heading1"/>
      </w:pPr>
      <w:r>
        <w:t>18. Critério de sucesso</w:t>
      </w:r>
    </w:p>
    <w:p>
      <w:r>
        <w:t>O Observatório será arquiteturalmente bem-sucedido quando qualquer novo sindicato puder ser incorporado sem improvisação estrutural; qualquer dado comparativo puder ser rastreado até sua fonte; qualquer documento canônico puder ser reconstruído a partir de evidências; e análises históricas nacionais puderem ser executadas sobre dados homogêneos sem apagar as particularidades de cada entidade.</w:t>
      </w:r>
    </w:p>
    <w:p>
      <w:pPr>
        <w:pStyle w:val="Heading1"/>
      </w:pPr>
      <w:r>
        <w:t>19. Decisões que permanecem abertas</w:t>
      </w:r>
    </w:p>
    <w:p>
      <w:pPr>
        <w:pStyle w:val="ListBullet"/>
      </w:pPr>
      <w:r>
        <w:t>Definição final dos campos e schemas de cada família JSONL.</w:t>
      </w:r>
    </w:p>
    <w:p>
      <w:pPr>
        <w:pStyle w:val="ListBullet"/>
      </w:pPr>
      <w:r>
        <w:t>Convenção definitiva de fonte_id e demais identificadores.</w:t>
      </w:r>
    </w:p>
    <w:p>
      <w:pPr>
        <w:pStyle w:val="ListBullet"/>
      </w:pPr>
      <w:r>
        <w:t>Política de versionamento dos dados e documentos canônicos.</w:t>
      </w:r>
    </w:p>
    <w:p>
      <w:pPr>
        <w:pStyle w:val="ListBullet"/>
      </w:pPr>
      <w:r>
        <w:t>Linguagem/ferramenta final do gerador (shell, Python ou combinação).</w:t>
      </w:r>
    </w:p>
    <w:p>
      <w:pPr>
        <w:pStyle w:val="ListBullet"/>
      </w:pPr>
      <w:r>
        <w:t>Quais arquivos serão publicados no site e quais permanecerão apenas como infraestrutura de pesquisa.</w:t>
      </w:r>
    </w:p>
    <w:p>
      <w:pPr>
        <w:pStyle w:val="ListBullet"/>
      </w:pPr>
      <w:r>
        <w:t>Primeiro conjunto de sindicatos do Top 20 após levantamento empírico.</w:t>
      </w:r>
    </w:p>
    <w:p>
      <w:pPr>
        <w:pStyle w:val="ListBullet"/>
      </w:pPr>
      <w:r>
        <w:t>Procedimento de validação automática e geração dos datasets nacionais.</w:t>
      </w:r>
    </w:p>
    <w:p>
      <w:r>
        <w:t>Esses pontos não devem ser preenchidos por conveniência do agente. Devem ser propostos, discutidos, testados e aprovados.</w:t>
      </w:r>
    </w:p>
    <w:p>
      <w:pPr>
        <w:pStyle w:val="Heading1"/>
      </w:pPr>
      <w:r>
        <w:t>20. Mandato final ao agente de IA</w:t>
      </w:r>
    </w:p>
    <w:p>
      <w:r>
        <w:t>Ao trabalhar neste projeto, trate o Observatório como infraestrutura de pesquisa histórica, jurídica, sindical e computacional de longo prazo. Preserve a distinção entre evidência, dado e interpretação; prefira estruturas comparáveis e auditáveis; não sacrifique memória histórica por conveniência técnica; não faça mudanças silenciosas de arquitetura; e mantenha cada decisão suficientemente documentada para que outro agente, pesquisador ou desenvolvedor possa continuar o trabalho sem depender da memória da conversa que o originou.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Documento Canônico de Arquitetura e Diretrizes • Versão 2.0 • 7 set. 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CLASSE E MASSAS  •  OBSERVATÓRIO DO MOVIMENTO SINDICAL BANCÁRIO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