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nonico"/>
      </w:pPr>
      <w:r>
        <w:t>CLASSE E MASSAS  •  DOCUMENTO CANÔNICO  •  VERSÃO 1.0</w:t>
      </w:r>
    </w:p>
    <w:p>
      <w:pPr>
        <w:pStyle w:val="Title"/>
        <w:jc w:val="center"/>
      </w:pPr>
      <w:r>
        <w:t>OBSERVATÓRIO DO</w:t>
        <w:br/>
        <w:t>MOVIMENTO SINDICAL BANCÁRIO</w:t>
      </w:r>
    </w:p>
    <w:p>
      <w:pPr>
        <w:jc w:val="center"/>
      </w:pPr>
      <w:r>
        <w:rPr>
          <w:b/>
          <w:sz w:val="28"/>
        </w:rPr>
        <w:t>Documento Canônico de Fundação, Objeto, Método e Programa de Pesquisa</w:t>
      </w:r>
    </w:p>
    <w:p>
      <w:pPr>
        <w:jc w:val="center"/>
      </w:pPr>
      <w:r>
        <w:rPr>
          <w:i/>
        </w:rPr>
        <w:t>7 de setembro de 2026</w:t>
      </w:r>
    </w:p>
    <w:p>
      <w:pPr>
        <w:pStyle w:val="Epigrafe"/>
      </w:pPr>
      <w:r>
        <w:t>Onde está concentrado o poder sindical bancário no Brasil, como esse poder é exercido e por quem?</w:t>
      </w:r>
    </w:p>
    <w:p>
      <w:pPr>
        <w:jc w:val="center"/>
      </w:pPr>
      <w:r>
        <w:rPr>
          <w:b/>
          <w:sz w:val="24"/>
        </w:rPr>
        <w:t>Status: APROVADO</w:t>
      </w:r>
    </w:p>
    <w:p>
      <w:r>
        <w:br w:type="page"/>
      </w:r>
    </w:p>
    <w:p>
      <w:pPr>
        <w:pStyle w:val="Heading1"/>
      </w:pPr>
      <w:r>
        <w:t>1. Natureza e finalidade</w:t>
      </w:r>
    </w:p>
    <w:p>
      <w:r>
        <w:rPr>
          <w:i w:val="0"/>
        </w:rPr>
        <w:t>O Observatório do Movimento Sindical Bancário é concebido como uma iniciativa permanente de pesquisa, documentação, acompanhamento e inteligência sindical da categoria bancária. Não se limita à Campanha Salarial de 2026 nem a um artigo conjuntural. Seu propósito é construir, preservar e atualizar uma base documental capaz de explicar a estrutura real do poder sindical bancário brasileiro.</w:t>
      </w:r>
    </w:p>
    <w:p>
      <w:r>
        <w:rPr>
          <w:i w:val="0"/>
        </w:rPr>
        <w:t>O objeto central do Observatório é descobrir, documentalmente, onde está concentrado o poder sindical bancário no Brasil, como esse poder é exercido e por quem.</w:t>
      </w:r>
    </w:p>
    <w:p>
      <w:r>
        <w:rPr>
          <w:i w:val="0"/>
        </w:rPr>
        <w:t>A investigação deverá permitir que bancários, pesquisadores e militantes compreendam a relação entre dimensão das bases territoriais, sindicalização, participação deliberativa, representação em congressos e conferências, estrutura federativa, competências estatutárias, negociação coletiva e atuação concreta das direções sindicais.</w:t>
      </w:r>
    </w:p>
    <w:p>
      <w:pPr>
        <w:pStyle w:val="Heading1"/>
      </w:pPr>
      <w:r>
        <w:t>2. Pergunta estratégica central</w:t>
      </w:r>
    </w:p>
    <w:p>
      <w:pPr>
        <w:pStyle w:val="Epigrafe"/>
      </w:pPr>
      <w:r>
        <w:t>Quem efetivamente possui capacidade material para determinar os rumos do movimento sindical bancário brasileiro?</w:t>
      </w:r>
    </w:p>
    <w:p>
      <w:r>
        <w:rPr>
          <w:i w:val="0"/>
        </w:rPr>
        <w:t>Essa pergunta orientará a coleta, a classificação e a interpretação das fontes. A investigação não partirá da conclusão política como fato consumado: deverá reconstruir empiricamente a distribuição da categoria entre as entidades sindicais e os mecanismos institucionais pelos quais trabalhadores são convertidos em representação, delegados, votos, mandatos e poder de negociação.</w:t>
      </w:r>
    </w:p>
    <w:p>
      <w:pPr>
        <w:pStyle w:val="Heading1"/>
      </w:pPr>
      <w:r>
        <w:t>3. Hipóteses de concentração — não confundir com resultados</w:t>
      </w:r>
    </w:p>
    <w:p>
      <w:r>
        <w:rPr>
          <w:i w:val="0"/>
        </w:rPr>
        <w:t>O universo provisório de referência é de 450 mil bancários. Até que a pesquisa estabeleça denominador, data-base, conceito e fonte adequados, esse número deve ser tratado como referência de trabalho, e não como dado canônico definitivo.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DEDED"/>
          </w:tcPr>
          <w:p>
            <w:r>
              <w:t>Hipótese</w:t>
            </w:r>
          </w:p>
        </w:tc>
        <w:tc>
          <w:tcPr>
            <w:tcW w:type="dxa" w:w="3264"/>
            <w:shd w:fill="EDEDED"/>
          </w:tcPr>
          <w:p>
            <w:r>
              <w:t>Percentual</w:t>
            </w:r>
          </w:p>
        </w:tc>
        <w:tc>
          <w:tcPr>
            <w:tcW w:type="dxa" w:w="3264"/>
            <w:shd w:fill="EDEDED"/>
          </w:tcPr>
          <w:p>
            <w:r>
              <w:t>Equivalência sobre 450 mil</w:t>
            </w:r>
          </w:p>
        </w:tc>
      </w:tr>
      <w:tr>
        <w:tc>
          <w:tcPr>
            <w:tcW w:type="dxa" w:w="3264"/>
          </w:tcPr>
          <w:p>
            <w:r>
              <w:t>Top 1</w:t>
            </w:r>
          </w:p>
        </w:tc>
        <w:tc>
          <w:tcPr>
            <w:tcW w:type="dxa" w:w="3264"/>
          </w:tcPr>
          <w:p>
            <w:r>
              <w:t>≈ 30%</w:t>
            </w:r>
          </w:p>
        </w:tc>
        <w:tc>
          <w:tcPr>
            <w:tcW w:type="dxa" w:w="3264"/>
          </w:tcPr>
          <w:p>
            <w:r>
              <w:t>≈ 135.000</w:t>
            </w:r>
          </w:p>
        </w:tc>
      </w:tr>
      <w:tr>
        <w:tc>
          <w:tcPr>
            <w:tcW w:type="dxa" w:w="3264"/>
          </w:tcPr>
          <w:p>
            <w:r>
              <w:t>Top 10</w:t>
            </w:r>
          </w:p>
        </w:tc>
        <w:tc>
          <w:tcPr>
            <w:tcW w:type="dxa" w:w="3264"/>
          </w:tcPr>
          <w:p>
            <w:r>
              <w:t>≈ 60%</w:t>
            </w:r>
          </w:p>
        </w:tc>
        <w:tc>
          <w:tcPr>
            <w:tcW w:type="dxa" w:w="3264"/>
          </w:tcPr>
          <w:p>
            <w:r>
              <w:t>≈ 270.000</w:t>
            </w:r>
          </w:p>
        </w:tc>
      </w:tr>
      <w:tr>
        <w:tc>
          <w:tcPr>
            <w:tcW w:type="dxa" w:w="3264"/>
          </w:tcPr>
          <w:p>
            <w:r>
              <w:t>Top 20</w:t>
            </w:r>
          </w:p>
        </w:tc>
        <w:tc>
          <w:tcPr>
            <w:tcW w:type="dxa" w:w="3264"/>
          </w:tcPr>
          <w:p>
            <w:r>
              <w:t>≈ 80%</w:t>
            </w:r>
          </w:p>
        </w:tc>
        <w:tc>
          <w:tcPr>
            <w:tcW w:type="dxa" w:w="3264"/>
          </w:tcPr>
          <w:p>
            <w:r>
              <w:t>≈ 360.000</w:t>
            </w:r>
          </w:p>
        </w:tc>
      </w:tr>
      <w:tr>
        <w:tc>
          <w:tcPr>
            <w:tcW w:type="dxa" w:w="3264"/>
          </w:tcPr>
          <w:p>
            <w:r>
              <w:t>3 sindicatos dirigidos pela oposição</w:t>
            </w:r>
          </w:p>
        </w:tc>
        <w:tc>
          <w:tcPr>
            <w:tcW w:type="dxa" w:w="3264"/>
          </w:tcPr>
          <w:p>
            <w:r>
              <w:t>≈ 2%–3%</w:t>
            </w:r>
          </w:p>
        </w:tc>
        <w:tc>
          <w:tcPr>
            <w:tcW w:type="dxa" w:w="3264"/>
          </w:tcPr>
          <w:p>
            <w:r>
              <w:t>≈ 9.000–13.500</w:t>
            </w:r>
          </w:p>
        </w:tc>
      </w:tr>
    </w:tbl>
    <w:p>
      <w:r>
        <w:rPr>
          <w:i w:val="0"/>
        </w:rPr>
        <w:t>Regra epistemológica: os percentuais de 30%, 60%, 80% e 2%–3% são hipóteses de investigação. Só poderão ser publicados como constatações depois de demonstrados por fontes verificáveis, metodologia uniforme e soma auditável das bases.</w:t>
      </w:r>
    </w:p>
    <w:p>
      <w:pPr>
        <w:pStyle w:val="Heading1"/>
      </w:pPr>
      <w:r>
        <w:t>4. Três grandezas que jamais devem ser confundidas</w:t>
      </w:r>
    </w:p>
    <w:p>
      <w:pPr>
        <w:pStyle w:val="ListBullet"/>
      </w:pPr>
      <w:r>
        <w:t>Bancários existentes na base territorial: trabalhadores abrangidos pela representação territorial/categorial da entidade, segundo critério e data-base explicitados.</w:t>
      </w:r>
    </w:p>
    <w:p>
      <w:pPr>
        <w:pStyle w:val="ListBullet"/>
      </w:pPr>
      <w:r>
        <w:t>Bancários sindicalizados: trabalhadores associados à entidade sindical, quando houver fonte pública e comparável.</w:t>
      </w:r>
    </w:p>
    <w:p>
      <w:pPr>
        <w:pStyle w:val="ListBullet"/>
      </w:pPr>
      <w:r>
        <w:t>Participantes/votantes: trabalhadores que efetivamente participam de assembleias, eleições, consultas ou outras deliberações.</w:t>
      </w:r>
    </w:p>
    <w:p>
      <w:r>
        <w:rPr>
          <w:i w:val="0"/>
        </w:rPr>
        <w:t>A pesquisa deverá construir uma metodologia nacional uniforme. Números produzidos por conceitos distintos não poderão ser somados ou comparados como se medissem a mesma realidade.</w:t>
      </w:r>
    </w:p>
    <w:p>
      <w:pPr>
        <w:pStyle w:val="Heading1"/>
      </w:pPr>
      <w:r>
        <w:t>5. Mapa do Poder Sindical Bancário</w:t>
      </w:r>
    </w:p>
    <w:p>
      <w:r>
        <w:rPr>
          <w:i w:val="0"/>
        </w:rPr>
        <w:t>A primeira grande frente será identificar os 20 maiores sindicatos bancários do Brasil pelo número estimado e, progressivamente, documentado de trabalhadores existentes em suas bases territoriais. A ordenação deverá registrar fonte, data, conceito utilizado e grau de confiabilidade.</w:t>
      </w:r>
    </w:p>
    <w:p>
      <w:r>
        <w:rPr>
          <w:i w:val="0"/>
        </w:rPr>
        <w:t>A análise será organizada, entre outros recortes, nos círculos Top 1 → Top 3 → Top 10 → Top 20.</w:t>
      </w:r>
    </w:p>
    <w:p>
      <w:r>
        <w:rPr>
          <w:i w:val="0"/>
        </w:rPr>
        <w:t>Somente após a consolidação dos dados será admissível formular, se comprovada, a síntese de que um sindicato concentra aproximadamente três em cada dez bancários, os dez maiores cerca de seis em cada dez e os vinte maiores perto de oito em cada dez.</w:t>
      </w:r>
    </w:p>
    <w:p>
      <w:pPr>
        <w:pStyle w:val="Heading1"/>
      </w:pPr>
      <w:r>
        <w:t>6. Dossiê permanente de cada sindicato</w:t>
      </w:r>
    </w:p>
    <w:p>
      <w:r>
        <w:rPr>
          <w:i w:val="0"/>
        </w:rPr>
        <w:t>Cada um dos vinte maiores sindicatos deverá possuir dossiê próprio, versionado e continuamente atualizado. O dossiê deverá conter, sempre que as fontes permitirem:</w:t>
      </w:r>
    </w:p>
    <w:p>
      <w:pPr>
        <w:pStyle w:val="ListBullet"/>
      </w:pPr>
      <w:r>
        <w:t>denominação jurídica, nome político, CNPJ e dados de registro sindical;</w:t>
      </w:r>
    </w:p>
    <w:p>
      <w:pPr>
        <w:pStyle w:val="ListBullet"/>
      </w:pPr>
      <w:r>
        <w:t>categoria representada, base territorial e municípios abrangidos;</w:t>
      </w:r>
    </w:p>
    <w:p>
      <w:pPr>
        <w:pStyle w:val="ListBullet"/>
      </w:pPr>
      <w:r>
        <w:t>número de bancários na base, data-base, fonte e metodologia;</w:t>
      </w:r>
    </w:p>
    <w:p>
      <w:pPr>
        <w:pStyle w:val="ListBullet"/>
      </w:pPr>
      <w:r>
        <w:t>número de sindicalizados, quando disponível e comparável;</w:t>
      </w:r>
    </w:p>
    <w:p>
      <w:pPr>
        <w:pStyle w:val="ListBullet"/>
      </w:pPr>
      <w:r>
        <w:t>percentual da categoria nacional representado;</w:t>
      </w:r>
    </w:p>
    <w:p>
      <w:pPr>
        <w:pStyle w:val="ListBullet"/>
      </w:pPr>
      <w:r>
        <w:t>filiação a federação, confederação e central sindical;</w:t>
      </w:r>
    </w:p>
    <w:p>
      <w:pPr>
        <w:pStyle w:val="ListBullet"/>
      </w:pPr>
      <w:r>
        <w:t>estatuto vigente e versões históricas localizadas;</w:t>
      </w:r>
    </w:p>
    <w:p>
      <w:pPr>
        <w:pStyle w:val="ListBullet"/>
      </w:pPr>
      <w:r>
        <w:t>diretoria completa, órgãos internos, cargos, mandatos e competências estatutárias;</w:t>
      </w:r>
    </w:p>
    <w:p>
      <w:pPr>
        <w:pStyle w:val="ListBullet"/>
      </w:pPr>
      <w:r>
        <w:t>congressos sindicais, teses, resoluções e deliberações;</w:t>
      </w:r>
    </w:p>
    <w:p>
      <w:pPr>
        <w:pStyle w:val="ListBullet"/>
      </w:pPr>
      <w:r>
        <w:t>jornais, boletins, revistas, sites e demais publicações institucionais;</w:t>
      </w:r>
    </w:p>
    <w:p>
      <w:pPr>
        <w:pStyle w:val="ListBullet"/>
      </w:pPr>
      <w:r>
        <w:t>editais e atas de assembleias, quando disponíveis;</w:t>
      </w:r>
    </w:p>
    <w:p>
      <w:pPr>
        <w:pStyle w:val="ListBullet"/>
      </w:pPr>
      <w:r>
        <w:t>prestações de contas e documentos eleitorais públicos;</w:t>
      </w:r>
    </w:p>
    <w:p>
      <w:pPr>
        <w:pStyle w:val="ListBullet"/>
      </w:pPr>
      <w:r>
        <w:t>eleições sindicais, chapas concorrentes e resultados;</w:t>
      </w:r>
    </w:p>
    <w:p>
      <w:pPr>
        <w:pStyle w:val="ListBullet"/>
      </w:pPr>
      <w:r>
        <w:t>participação em conferências estaduais e nacionais;</w:t>
      </w:r>
    </w:p>
    <w:p>
      <w:pPr>
        <w:pStyle w:val="ListBullet"/>
      </w:pPr>
      <w:r>
        <w:t>posições nas campanhas salariais e negociações coletivas;</w:t>
      </w:r>
    </w:p>
    <w:p>
      <w:pPr>
        <w:pStyle w:val="ListBullet"/>
      </w:pPr>
      <w:r>
        <w:t>histórico de votações e deliberações relevantes.</w:t>
      </w:r>
    </w:p>
    <w:p>
      <w:pPr>
        <w:pStyle w:val="Heading1"/>
      </w:pPr>
      <w:r>
        <w:t>7. Mapa da Representação Política e do Poder Deliberativo</w:t>
      </w:r>
    </w:p>
    <w:p>
      <w:r>
        <w:rPr>
          <w:i w:val="0"/>
        </w:rPr>
        <w:t>A dimensão numérica da base não equivale automaticamente ao poder político exercido. O Observatório deverá reconstruir como cada sindicato transforma sua base em representação institucional.</w:t>
      </w:r>
    </w:p>
    <w:p>
      <w:pPr>
        <w:pStyle w:val="ListBullet"/>
      </w:pPr>
      <w:r>
        <w:t>quantos delegados cada sindicato elege para federações, congressos e conferências;</w:t>
      </w:r>
    </w:p>
    <w:p>
      <w:pPr>
        <w:pStyle w:val="ListBullet"/>
      </w:pPr>
      <w:r>
        <w:t>quais fórmulas, critérios ou faixas determinam essa representação;</w:t>
      </w:r>
    </w:p>
    <w:p>
      <w:pPr>
        <w:pStyle w:val="ListBullet"/>
      </w:pPr>
      <w:r>
        <w:t>quem pode votar e quem pode ser delegado;</w:t>
      </w:r>
    </w:p>
    <w:p>
      <w:pPr>
        <w:pStyle w:val="ListBullet"/>
      </w:pPr>
      <w:r>
        <w:t>como os delegados são escolhidos;</w:t>
      </w:r>
    </w:p>
    <w:p>
      <w:pPr>
        <w:pStyle w:val="ListBullet"/>
      </w:pPr>
      <w:r>
        <w:t>quais órgãos deliberam e quais matérias dependem de assembleia;</w:t>
      </w:r>
    </w:p>
    <w:p>
      <w:pPr>
        <w:pStyle w:val="ListBullet"/>
      </w:pPr>
      <w:r>
        <w:t>como se formam maiorias nas instâncias estaduais e nacionais.</w:t>
      </w:r>
    </w:p>
    <w:p>
      <w:r>
        <w:rPr>
          <w:i w:val="0"/>
        </w:rPr>
        <w:t>O objetivo é revelar documentalmente como milhares de trabalhadores são convertidos institucionalmente em votos, delegados, mandatos e capacidade de determinar decisões coletivas.</w:t>
      </w:r>
    </w:p>
    <w:p>
      <w:pPr>
        <w:pStyle w:val="Heading1"/>
      </w:pPr>
      <w:r>
        <w:t>8. Direito Sindical como método de investigação</w:t>
      </w:r>
    </w:p>
    <w:p>
      <w:r>
        <w:rPr>
          <w:i w:val="0"/>
        </w:rPr>
        <w:t>O Direito Sindical não será um apêndice jurídico do Observatório. Será uma de suas espinhas dorsais metodológicas.</w:t>
      </w:r>
    </w:p>
    <w:p>
      <w:r>
        <w:rPr>
          <w:i w:val="0"/>
        </w:rPr>
        <w:t>A Constituição Federal, especialmente o art. 8º, a CLT, a jurisprudência do STF e do TST, os estatutos, registros sindicais, normas internas, instrumentos coletivos e regras de representação deverão ser utilizados para responder perguntas institucionais concretas:</w:t>
      </w:r>
    </w:p>
    <w:p>
      <w:pPr>
        <w:pStyle w:val="ListBullet"/>
      </w:pPr>
      <w:r>
        <w:t>Quem representa quem?</w:t>
      </w:r>
    </w:p>
    <w:p>
      <w:pPr>
        <w:pStyle w:val="ListBullet"/>
      </w:pPr>
      <w:r>
        <w:t>Em qual território e em relação a qual categoria?</w:t>
      </w:r>
    </w:p>
    <w:p>
      <w:pPr>
        <w:pStyle w:val="ListBullet"/>
      </w:pPr>
      <w:r>
        <w:t>Com qual mandato e por quanto tempo?</w:t>
      </w:r>
    </w:p>
    <w:p>
      <w:pPr>
        <w:pStyle w:val="ListBullet"/>
      </w:pPr>
      <w:r>
        <w:t>Quem pode deliberar?</w:t>
      </w:r>
    </w:p>
    <w:p>
      <w:pPr>
        <w:pStyle w:val="ListBullet"/>
      </w:pPr>
      <w:r>
        <w:t>Quem pode negociar e quem pode assinar CCTs e ACTs?</w:t>
      </w:r>
    </w:p>
    <w:p>
      <w:pPr>
        <w:pStyle w:val="ListBullet"/>
      </w:pPr>
      <w:r>
        <w:t>Quem autorizou a negociação ou a celebração do instrumento coletivo?</w:t>
      </w:r>
    </w:p>
    <w:p>
      <w:pPr>
        <w:pStyle w:val="ListBullet"/>
      </w:pPr>
      <w:r>
        <w:t>Qual órgão sindical possui determinada competência?</w:t>
      </w:r>
    </w:p>
    <w:p>
      <w:pPr>
        <w:pStyle w:val="ListBullet"/>
      </w:pPr>
      <w:r>
        <w:t>Como uma assembleia deve ser convocada?</w:t>
      </w:r>
    </w:p>
    <w:p>
      <w:pPr>
        <w:pStyle w:val="ListBullet"/>
      </w:pPr>
      <w:r>
        <w:t>Quem possui direito de voz e de voto?</w:t>
      </w:r>
    </w:p>
    <w:p>
      <w:pPr>
        <w:pStyle w:val="ListBullet"/>
      </w:pPr>
      <w:r>
        <w:t>Quais são os deveres e atribuições dos dirigentes?</w:t>
      </w:r>
    </w:p>
    <w:p>
      <w:r>
        <w:rPr>
          <w:i w:val="0"/>
        </w:rPr>
        <w:t>A arquitetura jurídica da representação coletiva deverá ser reconstruída: entidades sindicais, bases territoriais, categorias representadas, assembleias, estatutos, diretorias, federações, confederações, centrais, convenções, acordos e demais instâncias pertinentes.</w:t>
      </w:r>
    </w:p>
    <w:p>
      <w:pPr>
        <w:pStyle w:val="Heading1"/>
      </w:pPr>
      <w:r>
        <w:t>9. Fiscalização estatutária e auditoria documental</w:t>
      </w:r>
    </w:p>
    <w:p>
      <w:r>
        <w:rPr>
          <w:i w:val="0"/>
        </w:rPr>
        <w:t>O Observatório acompanhará não apenas quem ocupa cada cargo, mas o que o estatuto atribui ao cargo e quais atos públicos podem ser documentalmente relacionados ao exercício dessas atribuições.</w:t>
      </w:r>
    </w:p>
    <w:p>
      <w:r>
        <w:rPr>
          <w:i w:val="0"/>
        </w:rPr>
        <w:t>Matriz básica: Cargo → dirigente → competência estatutária → atos públicos identificados → documentos comprobatórios → período analisado.</w:t>
      </w:r>
    </w:p>
    <w:p>
      <w:r>
        <w:rPr>
          <w:i w:val="0"/>
        </w:rPr>
        <w:t>A ausência de notícia no site, boletim ou jornal sindical não prova descumprimento estatutário. O Observatório não transformará silêncio documental em acusação.</w:t>
      </w:r>
    </w:p>
    <w:p>
      <w:r>
        <w:rPr>
          <w:i w:val="0"/>
        </w:rPr>
        <w:t>Classificação preliminar de evidências:</w:t>
      </w:r>
    </w:p>
    <w:p>
      <w:pPr>
        <w:pStyle w:val="ListBullet"/>
      </w:pPr>
      <w:r>
        <w:t>cumprimento documentalmente identificado;</w:t>
      </w:r>
    </w:p>
    <w:p>
      <w:pPr>
        <w:pStyle w:val="ListBullet"/>
      </w:pPr>
      <w:r>
        <w:t>cumprimento parcialmente documentado;</w:t>
      </w:r>
    </w:p>
    <w:p>
      <w:pPr>
        <w:pStyle w:val="ListBullet"/>
      </w:pPr>
      <w:r>
        <w:t>documentação pública insuficiente para avaliação.</w:t>
      </w:r>
    </w:p>
    <w:p>
      <w:r>
        <w:rPr>
          <w:i w:val="0"/>
        </w:rPr>
        <w:t>A expressão “possível descumprimento” exigirá evidência positiva suficiente e análise jurídica adequada. O princípio é transformar fiscalização política em auditoria documental, com rastreabilidade das fontes e direito de correção quando fatos novos surgirem.</w:t>
      </w:r>
    </w:p>
    <w:p>
      <w:pPr>
        <w:pStyle w:val="Heading1"/>
      </w:pPr>
      <w:r>
        <w:t>10. Publicações sindicais como fontes primárias e históricas</w:t>
      </w:r>
    </w:p>
    <w:p>
      <w:r>
        <w:rPr>
          <w:i w:val="0"/>
        </w:rPr>
        <w:t>Jornais, boletins, sites e demais publicações dos sindicatos não serão apenas lidos: serão indexados como fontes primárias da história política e institucional da categoria.</w:t>
      </w:r>
    </w:p>
    <w:p>
      <w:r>
        <w:rPr>
          <w:i w:val="0"/>
        </w:rPr>
        <w:t>Cada item poderá receber metadados como sindicato, data, banco, dirigente citado, tema, campanha salarial, assembleia, greve, negociação, reivindicação, posição política e documento relacionado.</w:t>
      </w:r>
    </w:p>
    <w:p>
      <w:r>
        <w:rPr>
          <w:i w:val="0"/>
        </w:rPr>
        <w:t>A indexação deverá permitir perguntas longitudinais, como: quais dirigentes aparecem discutindo organização de base; quantas matérias tratam de greve ou negociação; quais sindicatos realizam mais plenárias presenciais; quais publicam previamente propostas submetidas a assembleia; e como cada entidade tratou determinada campanha salarial.</w:t>
      </w:r>
    </w:p>
    <w:p>
      <w:pPr>
        <w:pStyle w:val="Heading1"/>
      </w:pPr>
      <w:r>
        <w:t>11. Hierarquia e tratamento das fontes</w:t>
      </w:r>
    </w:p>
    <w:p>
      <w:r>
        <w:rPr>
          <w:i w:val="0"/>
        </w:rPr>
        <w:t>O Observatório priorizará documentos canônicos e fontes primárias. A força de cada conclusão deverá ser proporcional à qualidade e à proximidade da fonte.</w:t>
      </w:r>
    </w:p>
    <w:p>
      <w:pPr>
        <w:pStyle w:val="ListBullet"/>
      </w:pPr>
      <w:r>
        <w:t>Constituição, legislação e atos normativos aplicáveis;</w:t>
      </w:r>
    </w:p>
    <w:p>
      <w:pPr>
        <w:pStyle w:val="ListBullet"/>
      </w:pPr>
      <w:r>
        <w:t>registro sindical e documentos oficiais de órgãos públicos;</w:t>
      </w:r>
    </w:p>
    <w:p>
      <w:pPr>
        <w:pStyle w:val="ListBullet"/>
      </w:pPr>
      <w:r>
        <w:t>estatutos sociais e suas versões históricas;</w:t>
      </w:r>
    </w:p>
    <w:p>
      <w:pPr>
        <w:pStyle w:val="ListBullet"/>
      </w:pPr>
      <w:r>
        <w:t>CCTs, ACTs, editais, atas, regulamentos e documentos eleitorais;</w:t>
      </w:r>
    </w:p>
    <w:p>
      <w:pPr>
        <w:pStyle w:val="ListBullet"/>
      </w:pPr>
      <w:r>
        <w:t>teses, resoluções e documentos de congressos e conferências;</w:t>
      </w:r>
    </w:p>
    <w:p>
      <w:pPr>
        <w:pStyle w:val="ListBullet"/>
      </w:pPr>
      <w:r>
        <w:t>publicações oficiais dos sindicatos, federações, confederações e demais entidades;</w:t>
      </w:r>
    </w:p>
    <w:p>
      <w:pPr>
        <w:pStyle w:val="ListBullet"/>
      </w:pPr>
      <w:r>
        <w:t>dados estatísticos oficiais ou bases cuja metodologia seja conhecida;</w:t>
      </w:r>
    </w:p>
    <w:p>
      <w:pPr>
        <w:pStyle w:val="ListBullet"/>
      </w:pPr>
      <w:r>
        <w:t>fontes secundárias, utilizadas com identificação e cautela.</w:t>
      </w:r>
    </w:p>
    <w:p>
      <w:r>
        <w:rPr>
          <w:i w:val="0"/>
        </w:rPr>
        <w:t>Toda informação quantitativa relevante deverá, sempre que possível, carregar: fonte, URL ou referência documental, data de acesso, data-base do número, definição do indicador e observações metodológicas.</w:t>
      </w:r>
    </w:p>
    <w:p>
      <w:pPr>
        <w:pStyle w:val="Heading1"/>
      </w:pPr>
      <w:r>
        <w:t>12. Caso-piloto: São Paulo</w:t>
      </w:r>
    </w:p>
    <w:p>
      <w:r>
        <w:rPr>
          <w:i w:val="0"/>
        </w:rPr>
        <w:t>O Sindicato dos Bancários e Financiários de São Paulo, Osasco e Região será um dos casos-piloto para testar o método. As informações já mencionadas sobre sua base territorial, estrutura regional, número e distribuição de dirigentes e competências estatutárias devem ser reconfirmadas diretamente nos documentos vigentes antes de ingressarem como dados consolidados do Observatório.</w:t>
      </w:r>
    </w:p>
    <w:p>
      <w:r>
        <w:rPr>
          <w:i w:val="0"/>
        </w:rPr>
        <w:t>O caso-piloto deverá demonstrar como passar do estudo externo de “um sindicato” para a reconstrução institucional interna: órgãos, dirigentes, cargos, competências, regiões, bancos acompanhados, assembleias, congressos, teses, publicações e atos.</w:t>
      </w:r>
    </w:p>
    <w:p>
      <w:pPr>
        <w:pStyle w:val="Heading1"/>
      </w:pPr>
      <w:r>
        <w:t>13. Produto editorial e produto de pesquisa</w:t>
      </w:r>
    </w:p>
    <w:p>
      <w:r>
        <w:rPr>
          <w:i w:val="0"/>
        </w:rPr>
        <w:t>O Observatório deverá alimentar simultaneamente dois produtos.</w:t>
      </w:r>
    </w:p>
    <w:p>
      <w:pPr>
        <w:pStyle w:val="ListBullet"/>
      </w:pPr>
      <w:r>
        <w:t>Produto público/editorial: textos, mapas, tabelas, perfis e análises destinados ao conjunto da categoria bancária no Classe e Massas.</w:t>
      </w:r>
    </w:p>
    <w:p>
      <w:pPr>
        <w:pStyle w:val="ListBullet"/>
      </w:pPr>
      <w:r>
        <w:t>Produto documental/pesquisa: base nacional pesquisável, dossiês, documentos canônicos, séries históricas, índices e registros de proveniência.</w:t>
      </w:r>
    </w:p>
    <w:p>
      <w:r>
        <w:rPr>
          <w:i w:val="0"/>
        </w:rPr>
        <w:t>O título provisório do primeiro grande texto é: “Quem decide os rumos dos bancários? — Um mapa do poder sindical da maior categoria organizada do país”.</w:t>
      </w:r>
    </w:p>
    <w:p>
      <w:r>
        <w:rPr>
          <w:i w:val="0"/>
        </w:rPr>
        <w:t>O texto deverá começar pela distribuição territorial do universo nacional de bancários, e não pelo ataque a uma corrente sindical. A conclusão política deverá emergir dos números, documentos e mecanismos institucionais demonstrados.</w:t>
      </w:r>
    </w:p>
    <w:p>
      <w:pPr>
        <w:pStyle w:val="Heading1"/>
      </w:pPr>
      <w:r>
        <w:t>14. Programa inicial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DEDED"/>
          </w:tcPr>
          <w:p>
            <w:r>
              <w:t>Etapa</w:t>
            </w:r>
          </w:p>
        </w:tc>
        <w:tc>
          <w:tcPr>
            <w:tcW w:type="dxa" w:w="3264"/>
            <w:shd w:fill="EDEDED"/>
          </w:tcPr>
          <w:p>
            <w:r>
              <w:t>Frente</w:t>
            </w:r>
          </w:p>
        </w:tc>
        <w:tc>
          <w:tcPr>
            <w:tcW w:type="dxa" w:w="3264"/>
            <w:shd w:fill="EDEDED"/>
          </w:tcPr>
          <w:p>
            <w:r>
              <w:t>Resultado esperado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Definir o denominador nacional</w:t>
            </w:r>
          </w:p>
        </w:tc>
        <w:tc>
          <w:tcPr>
            <w:tcW w:type="dxa" w:w="3264"/>
          </w:tcPr>
          <w:p>
            <w:r>
              <w:t>Localizar fonte, conceito e data-base adequados para o total nacional de bancários e registrar eventuais universos alternativos.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Identificar os 20 maiores sindicatos</w:t>
            </w:r>
          </w:p>
        </w:tc>
        <w:tc>
          <w:tcPr>
            <w:tcW w:type="dxa" w:w="3264"/>
          </w:tcPr>
          <w:p>
            <w:r>
              <w:t>Construir lista preliminar e localizar evidências para o número de trabalhadores em cada base.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Normalizar conceitos</w:t>
            </w:r>
          </w:p>
        </w:tc>
        <w:tc>
          <w:tcPr>
            <w:tcW w:type="dxa" w:w="3264"/>
          </w:tcPr>
          <w:p>
            <w:r>
              <w:t>Separar base territorial, sindicalizados e votantes; registrar diferenças de categoria e abrangência.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Calcular concentração</w:t>
            </w:r>
          </w:p>
        </w:tc>
        <w:tc>
          <w:tcPr>
            <w:tcW w:type="dxa" w:w="3264"/>
          </w:tcPr>
          <w:p>
            <w:r>
              <w:t>Calcular Top 1, Top 3, Top 10 e Top 20 somente com dados comparáveis e auditáveis.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Abrir dossiês</w:t>
            </w:r>
          </w:p>
        </w:tc>
        <w:tc>
          <w:tcPr>
            <w:tcW w:type="dxa" w:w="3264"/>
          </w:tcPr>
          <w:p>
            <w:r>
              <w:t>Criar dossiê canônico para cada entidade selecionada.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Reconstruir representação política</w:t>
            </w:r>
          </w:p>
        </w:tc>
        <w:tc>
          <w:tcPr>
            <w:tcW w:type="dxa" w:w="3264"/>
          </w:tcPr>
          <w:p>
            <w:r>
              <w:t>Mapear delegados, congressos, conferências, federações e regras de conversão da base em representação.</w:t>
            </w:r>
          </w:p>
        </w:tc>
      </w:tr>
      <w:tr>
        <w:tc>
          <w:tcPr>
            <w:tcW w:type="dxa" w:w="3264"/>
          </w:tcPr>
          <w:p>
            <w:r>
              <w:t>7</w:t>
            </w:r>
          </w:p>
        </w:tc>
        <w:tc>
          <w:tcPr>
            <w:tcW w:type="dxa" w:w="3264"/>
          </w:tcPr>
          <w:p>
            <w:r>
              <w:t>Indexar publicações</w:t>
            </w:r>
          </w:p>
        </w:tc>
        <w:tc>
          <w:tcPr>
            <w:tcW w:type="dxa" w:w="3264"/>
          </w:tcPr>
          <w:p>
            <w:r>
              <w:t>Criar rotina de acompanhamento e classificação de jornais, boletins, editais e notícias.</w:t>
            </w:r>
          </w:p>
        </w:tc>
      </w:tr>
      <w:tr>
        <w:tc>
          <w:tcPr>
            <w:tcW w:type="dxa" w:w="3264"/>
          </w:tcPr>
          <w:p>
            <w:r>
              <w:t>8</w:t>
            </w:r>
          </w:p>
        </w:tc>
        <w:tc>
          <w:tcPr>
            <w:tcW w:type="dxa" w:w="3264"/>
          </w:tcPr>
          <w:p>
            <w:r>
              <w:t>Auditar competências estatutárias</w:t>
            </w:r>
          </w:p>
        </w:tc>
        <w:tc>
          <w:tcPr>
            <w:tcW w:type="dxa" w:w="3264"/>
          </w:tcPr>
          <w:p>
            <w:r>
              <w:t>Relacionar cargos, dirigentes, atribuições e evidências públicas sem inferir omissão a partir de ausência de notícia.</w:t>
            </w:r>
          </w:p>
        </w:tc>
      </w:tr>
      <w:tr>
        <w:tc>
          <w:tcPr>
            <w:tcW w:type="dxa" w:w="3264"/>
          </w:tcPr>
          <w:p>
            <w:r>
              <w:t>9</w:t>
            </w:r>
          </w:p>
        </w:tc>
        <w:tc>
          <w:tcPr>
            <w:tcW w:type="dxa" w:w="3264"/>
          </w:tcPr>
          <w:p>
            <w:r>
              <w:t>Produzir o primeiro mapa nacional</w:t>
            </w:r>
          </w:p>
        </w:tc>
        <w:tc>
          <w:tcPr>
            <w:tcW w:type="dxa" w:w="3264"/>
          </w:tcPr>
          <w:p>
            <w:r>
              <w:t>Publicar somente resultados que tenham trilha documental reproduzível.</w:t>
            </w:r>
          </w:p>
        </w:tc>
      </w:tr>
    </w:tbl>
    <w:p>
      <w:pPr>
        <w:pStyle w:val="Heading1"/>
      </w:pPr>
      <w:r>
        <w:t>15. Princípios permanentes</w:t>
      </w:r>
    </w:p>
    <w:p>
      <w:pPr>
        <w:pStyle w:val="ListBullet"/>
      </w:pPr>
      <w:r>
        <w:t>Documentar antes de concluir.</w:t>
      </w:r>
    </w:p>
    <w:p>
      <w:pPr>
        <w:pStyle w:val="ListBullet"/>
      </w:pPr>
      <w:r>
        <w:t>Não preencher lacunas com plausibilidade.</w:t>
      </w:r>
    </w:p>
    <w:p>
      <w:pPr>
        <w:pStyle w:val="ListBullet"/>
      </w:pPr>
      <w:r>
        <w:t>Distinguir hipótese, estimativa, dado provisório e fato comprovado.</w:t>
      </w:r>
    </w:p>
    <w:p>
      <w:pPr>
        <w:pStyle w:val="ListBullet"/>
      </w:pPr>
      <w:r>
        <w:t>Preservar versões históricas dos documentos.</w:t>
      </w:r>
    </w:p>
    <w:p>
      <w:pPr>
        <w:pStyle w:val="ListBullet"/>
      </w:pPr>
      <w:r>
        <w:t>Registrar a proveniência de cada número e afirmação relevante.</w:t>
      </w:r>
    </w:p>
    <w:p>
      <w:pPr>
        <w:pStyle w:val="ListBullet"/>
      </w:pPr>
      <w:r>
        <w:t>Não confundir base territorial com sindicalização ou participação.</w:t>
      </w:r>
    </w:p>
    <w:p>
      <w:pPr>
        <w:pStyle w:val="ListBullet"/>
      </w:pPr>
      <w:r>
        <w:t>Não converter ausência de publicidade em prova de descumprimento.</w:t>
      </w:r>
    </w:p>
    <w:p>
      <w:pPr>
        <w:pStyle w:val="ListBullet"/>
      </w:pPr>
      <w:r>
        <w:t>Permitir revisão das conclusões quando surgirem documentos melhores.</w:t>
      </w:r>
    </w:p>
    <w:p>
      <w:pPr>
        <w:pStyle w:val="ListBullet"/>
      </w:pPr>
      <w:r>
        <w:t>Tratar o Direito Sindical como instrumento de reconstrução da cadeia de representação.</w:t>
      </w:r>
    </w:p>
    <w:p>
      <w:pPr>
        <w:pStyle w:val="ListBullet"/>
      </w:pPr>
      <w:r>
        <w:t>Construir memória histórica cumulativa, e não apenas cobertura conjuntural.</w:t>
      </w:r>
    </w:p>
    <w:p>
      <w:pPr>
        <w:pStyle w:val="Heading1"/>
      </w:pPr>
      <w:r>
        <w:t>16. Regra de preservação do projeto</w:t>
      </w:r>
    </w:p>
    <w:p>
      <w:r>
        <w:rPr>
          <w:i w:val="0"/>
        </w:rPr>
        <w:t>Este documento é a referência fundacional do Observatório do Movimento Sindical Bancário. Alterações metodológicas relevantes deverão ser registradas em versões posteriores, preservando-se a versão anterior e o histórico das mudanças. Novas pesquisas poderão ampliar o programa, mas não deverão apagar as distinções, cautelas e objetivos aqui estabelecidos sem decisão expressa e documentada.</w:t>
      </w:r>
    </w:p>
    <w:p/>
    <w:p>
      <w:pPr>
        <w:jc w:val="center"/>
      </w:pPr>
      <w:r>
        <w:rPr>
          <w:b/>
        </w:rPr>
        <w:t>OBSERVATÓRIO DO MOVIMENTO SINDICAL BANCÁRIO</w:t>
      </w:r>
    </w:p>
    <w:p>
      <w:pPr>
        <w:jc w:val="center"/>
      </w:pPr>
      <w:r>
        <w:rPr>
          <w:i/>
        </w:rPr>
        <w:t>Classe e Massas • Documento Canônico de Fundação • v1.0 • 07/09/2026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onico">
    <w:name w:val="Canonico"/>
    <w:pPr>
      <w:spacing w:after="160"/>
    </w:pPr>
    <w:rPr>
      <w:rFonts w:ascii="Aptos" w:hAnsi="Aptos"/>
      <w:b/>
      <w:caps/>
      <w:sz w:val="18"/>
    </w:rPr>
  </w:style>
  <w:style w:type="paragraph" w:customStyle="1" w:styleId="Epigrafe">
    <w:name w:val="Epigrafe"/>
    <w:pPr>
      <w:spacing w:before="160" w:after="240"/>
      <w:ind w:left="504" w:right="504"/>
    </w:pPr>
    <w:rPr>
      <w:rFonts w:ascii="Aptos" w:hAnsi="Aptos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