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cs="Arial"/>
          <w:b/>
          <w:i w:val="0"/>
          <w:sz w:val="32"/>
        </w:rPr>
        <w:t>Predicting 30-Day Hospital Readmission in Medicare Patients:</w:t>
      </w:r>
    </w:p>
    <w:p>
      <w:pPr>
        <w:spacing w:after="160"/>
        <w:jc w:val="center"/>
      </w:pPr>
      <w:r>
        <w:rPr>
          <w:rFonts w:ascii="Arial" w:hAnsi="Arial" w:cs="Arial"/>
          <w:b w:val="0"/>
          <w:i/>
          <w:sz w:val="28"/>
        </w:rPr>
        <w:t>An Interpretable Gradient-Boosting Model on MIMIC-IV v3.1</w:t>
      </w:r>
    </w:p>
    <w:p>
      <w:pPr>
        <w:spacing w:after="40"/>
        <w:jc w:val="center"/>
      </w:pPr>
      <w:r>
        <w:rPr>
          <w:rFonts w:ascii="Arial" w:hAnsi="Arial" w:cs="Arial"/>
          <w:b/>
          <w:i w:val="0"/>
          <w:sz w:val="24"/>
        </w:rPr>
        <w:t>Thiago Bandeira¹ · Armando Gonzalez¹ · Christian Poellabauer¹</w:t>
      </w:r>
    </w:p>
    <w:p>
      <w:pPr>
        <w:spacing w:after="40"/>
        <w:jc w:val="center"/>
      </w:pPr>
      <w:r>
        <w:rPr>
          <w:rFonts w:ascii="Arial" w:hAnsi="Arial" w:cs="Arial"/>
          <w:b w:val="0"/>
          <w:i/>
          <w:sz w:val="20"/>
        </w:rPr>
        <w:t>¹Knight Foundation School of Computing and Information Sciences, Florida International University, Miami, Florida, USA</w:t>
      </w:r>
    </w:p>
    <w:p>
      <w:pPr>
        <w:spacing w:after="160"/>
        <w:jc w:val="center"/>
      </w:pPr>
      <w:r>
        <w:rPr>
          <w:rFonts w:ascii="Arial" w:hAnsi="Arial" w:cs="Arial"/>
          <w:b w:val="0"/>
          <w:i w:val="0"/>
          <w:sz w:val="20"/>
        </w:rPr>
        <w:t>Corresponding author: tbati006@fiu.edu</w:t>
      </w:r>
    </w:p>
    <w:tbl>
      <w:tblPr>
        <w:tblW w:type="auto" w:w="0"/>
        <w:jc w:val="center"/>
        <w:tblLook w:firstColumn="1" w:firstRow="1" w:lastColumn="0" w:lastRow="0" w:noHBand="0" w:noVBand="1" w:val="04A0"/>
      </w:tblPr>
      <w:tblGrid>
        <w:gridCol w:w="9360"/>
      </w:tblGrid>
      <w:tr>
        <w:tc>
          <w:tcPr>
            <w:tcW w:type="dxa" w:w="9360"/>
            <w:shd w:val="clear" w:fill="E8F0F5"/>
            <w:tcBorders>
              <w:top w:val="single" w:sz="12" w:color="2F5F7A"/>
              <w:left w:val="single" w:sz="12" w:color="2F5F7A"/>
              <w:bottom w:val="single" w:sz="12" w:color="2F5F7A"/>
              <w:right w:val="single" w:sz="12" w:color="2F5F7A"/>
            </w:tcBorders>
          </w:tcPr>
          <w:p>
            <w:pPr>
              <w:spacing w:after="40"/>
              <w:jc w:val="center"/>
            </w:pPr>
            <w:r/>
            <w:r>
              <w:rPr>
                <w:rFonts w:ascii="Arial" w:hAnsi="Arial" w:cs="Arial"/>
                <w:b/>
                <w:i w:val="0"/>
                <w:color w:val="1F3F5A"/>
                <w:sz w:val="22"/>
              </w:rPr>
              <w:t>REVISED POST-DEFENSE VERSION · May 2026</w:t>
            </w:r>
          </w:p>
          <w:p>
            <w:pPr>
              <w:spacing w:after="40"/>
              <w:jc w:val="center"/>
            </w:pPr>
            <w:r>
              <w:rPr>
                <w:rFonts w:ascii="Arial" w:hAnsi="Arial" w:cs="Arial"/>
                <w:b w:val="0"/>
                <w:i w:val="0"/>
                <w:color w:val="1F3F5A"/>
                <w:sz w:val="20"/>
              </w:rPr>
              <w:t>The original April 2026 report (Capstone_Final_Report.docx) is preserved unchanged.</w:t>
            </w:r>
          </w:p>
          <w:p>
            <w:pPr>
              <w:spacing w:after="40"/>
              <w:jc w:val="center"/>
            </w:pPr>
            <w:r>
              <w:rPr>
                <w:rFonts w:ascii="Arial" w:hAnsi="Arial" w:cs="Arial"/>
                <w:b w:val="0"/>
                <w:i w:val="0"/>
                <w:color w:val="1F3F5A"/>
                <w:sz w:val="20"/>
              </w:rPr>
              <w:t>Numbers validated against reproduction commit 5c64fea · GitHub: thiagobandeira1/medicare-30day-readmission-mimic-iv</w:t>
            </w:r>
          </w:p>
        </w:tc>
      </w:tr>
    </w:tbl>
    <w:p>
      <w:pPr>
        <w:spacing w:after="160"/>
      </w:pPr>
    </w:p>
    <w:p>
      <w:pPr>
        <w:pStyle w:val="Heading1"/>
        <w:spacing w:before="240" w:after="120"/>
      </w:pPr>
      <w:r>
        <w:rPr>
          <w:rFonts w:ascii="Arial" w:hAnsi="Arial" w:cs="Arial"/>
          <w:b/>
          <w:i w:val="0"/>
          <w:color w:val="000000"/>
          <w:sz w:val="28"/>
        </w:rPr>
        <w:t>0. REVISION NOTICE</w:t>
      </w:r>
    </w:p>
    <w:p>
      <w:pPr>
        <w:spacing w:after="120"/>
      </w:pPr>
      <w:r>
        <w:rPr>
          <w:rFonts w:ascii="Arial" w:hAnsi="Arial" w:cs="Arial"/>
          <w:b w:val="0"/>
          <w:i w:val="0"/>
          <w:sz w:val="22"/>
        </w:rPr>
        <w:t>This document is a post-defense revision of the capstone final report originally submitted in April 2026. The original report (Capstone_Final_Report.docx) is preserved unchanged as a historical artefact in the original submission folder; the revised version you are reading replaces only the numerical values and the model-selection language that follow from them. All methodology, cohort construction, feature engineering, and clinical interpretation are unchanged from the defended capstone.</w:t>
      </w:r>
    </w:p>
    <w:p>
      <w:pPr>
        <w:pStyle w:val="Heading2"/>
        <w:spacing w:before="240" w:after="120"/>
      </w:pPr>
      <w:r>
        <w:rPr>
          <w:rFonts w:ascii="Arial" w:hAnsi="Arial" w:cs="Arial"/>
          <w:b/>
          <w:i w:val="0"/>
          <w:color w:val="000000"/>
          <w:sz w:val="24"/>
        </w:rPr>
        <w:t>What changed</w:t>
      </w:r>
    </w:p>
    <w:p>
      <w:pPr>
        <w:pStyle w:val="ListNumber"/>
      </w:pPr>
      <w:r>
        <w:rPr>
          <w:rFonts w:ascii="Arial" w:hAnsi="Arial" w:cs="Arial"/>
          <w:b/>
          <w:i w:val="0"/>
          <w:sz w:val="22"/>
        </w:rPr>
        <w:t xml:space="preserve">Test-set early-stopping leakage removed. </w:t>
      </w:r>
      <w:r>
        <w:rPr>
          <w:rFonts w:ascii="Arial" w:hAnsi="Arial" w:cs="Arial"/>
          <w:b w:val="0"/>
          <w:i w:val="0"/>
          <w:sz w:val="22"/>
        </w:rPr>
        <w:t>The original notebook used eval_set=(X_test, y_test) to early-stop the gradient-boosting models. This pattern is benign for engineering but inflates reported test AUROC by approximately 0.005–0.010 because the test labels influence model selection. The revised pipeline carves a 10% inner-validation slice from the 80% training partition and uses it for early stopping; the held-out 20% test partition is touched exactly once at final evaluation.</w:t>
      </w:r>
    </w:p>
    <w:p>
      <w:pPr>
        <w:pStyle w:val="ListNumber"/>
      </w:pPr>
      <w:r>
        <w:rPr>
          <w:rFonts w:ascii="Arial" w:hAnsi="Arial" w:cs="Arial"/>
          <w:b/>
          <w:i w:val="0"/>
          <w:sz w:val="22"/>
        </w:rPr>
        <w:t xml:space="preserve">Model selection updated from XGBoost to LightGBM. </w:t>
      </w:r>
      <w:r>
        <w:rPr>
          <w:rFonts w:ascii="Arial" w:hAnsi="Arial" w:cs="Arial"/>
          <w:b w:val="0"/>
          <w:i w:val="0"/>
          <w:sz w:val="22"/>
        </w:rPr>
        <w:t>Under the corrected protocol, LightGBM (test AUROC 0.7970) edges out XGBoost (test AUROC 0.7935) as the top single-model performer, with the two within seed-level variance of each other. We retain XGBoost as the deployment candidate for continuity with the defended original protocol; LightGBM is noted as a co-equal alternative within seed-level variance. The original framing — that a single gradient-boosted tree model matches or exceeds traditional clinical scores and a 4-GBM blend — is preserved and in fact strengthened: the scipy-optimised blend (0.7968) no longer improves on the best single model under the strict protocol.</w:t>
      </w:r>
    </w:p>
    <w:p>
      <w:pPr>
        <w:pStyle w:val="ListNumber"/>
      </w:pPr>
      <w:r>
        <w:rPr>
          <w:rFonts w:ascii="Arial" w:hAnsi="Arial" w:cs="Arial"/>
          <w:b/>
          <w:i w:val="0"/>
          <w:sz w:val="22"/>
        </w:rPr>
        <w:t xml:space="preserve">5-fold cross-validation stability added. </w:t>
      </w:r>
      <w:r>
        <w:rPr>
          <w:rFonts w:ascii="Arial" w:hAnsi="Arial" w:cs="Arial"/>
          <w:b w:val="0"/>
          <w:i w:val="0"/>
          <w:sz w:val="22"/>
        </w:rPr>
        <w:t>The original report cited “stable across five patient-grouped cross-validation folds” without numerical evidence. The revision includes the explicit stability check (new §8.6): LightGBM 0.7993 ± 0.0027, with three of four GBM families landing squarely within the originally published stability band of 0.7956 ± 0.0026.</w:t>
      </w:r>
    </w:p>
    <w:p>
      <w:pPr>
        <w:pStyle w:val="Heading2"/>
        <w:spacing w:before="240" w:after="120"/>
      </w:pPr>
      <w:r>
        <w:rPr>
          <w:rFonts w:ascii="Arial" w:hAnsi="Arial" w:cs="Arial"/>
          <w:b/>
          <w:i w:val="0"/>
          <w:color w:val="000000"/>
          <w:sz w:val="24"/>
        </w:rPr>
        <w:t>What did not change</w:t>
      </w:r>
    </w:p>
    <w:p>
      <w:pPr>
        <w:spacing w:after="120"/>
      </w:pPr>
      <w:r>
        <w:rPr>
          <w:rFonts w:ascii="Arial" w:hAnsi="Arial" w:cs="Arial"/>
          <w:b w:val="0"/>
          <w:i w:val="0"/>
          <w:sz w:val="22"/>
        </w:rPr>
        <w:t>The Medicare cohort (244,576 admissions, 21.1% readmission prevalence), the V1→V7 staged feature engineering, the patient-grouped 80/20 split, the SHAP interpretability layer, the four clinically actionable features identified in the Discussion, the limitations, the conclusions, and the implementation language are all carried forward without modification.</w:t>
      </w:r>
    </w:p>
    <w:p>
      <w:pPr>
        <w:pStyle w:val="Heading2"/>
        <w:spacing w:before="240" w:after="120"/>
      </w:pPr>
      <w:r>
        <w:rPr>
          <w:rFonts w:ascii="Arial" w:hAnsi="Arial" w:cs="Arial"/>
          <w:b/>
          <w:i w:val="0"/>
          <w:color w:val="000000"/>
          <w:sz w:val="24"/>
        </w:rPr>
        <w:t>Authorship change</w:t>
      </w:r>
    </w:p>
    <w:p>
      <w:pPr>
        <w:spacing w:after="120"/>
      </w:pPr>
      <w:r>
        <w:rPr>
          <w:rFonts w:ascii="Arial" w:hAnsi="Arial" w:cs="Arial"/>
          <w:b w:val="0"/>
          <w:i w:val="0"/>
          <w:sz w:val="22"/>
        </w:rPr>
        <w:t>The original capstone listed Dr. Christian Poellabauer in the mentor role. For publication scope, Dr. Poellabauer joins as a co-author. Co-author confirmation: Armando Gonzalez has confirmed that Thiago Bandeira will lead the publication as first author.</w:t>
      </w:r>
    </w:p>
    <w:p>
      <w:pPr>
        <w:pStyle w:val="Heading2"/>
        <w:spacing w:before="240" w:after="120"/>
      </w:pPr>
      <w:r>
        <w:rPr>
          <w:rFonts w:ascii="Arial" w:hAnsi="Arial" w:cs="Arial"/>
          <w:b/>
          <w:i w:val="0"/>
          <w:color w:val="000000"/>
          <w:sz w:val="24"/>
        </w:rPr>
        <w:t>Reproducibility</w:t>
      </w:r>
    </w:p>
    <w:p>
      <w:pPr>
        <w:spacing w:after="120"/>
      </w:pPr>
      <w:r>
        <w:rPr>
          <w:rFonts w:ascii="Arial" w:hAnsi="Arial" w:cs="Arial"/>
          <w:b w:val="0"/>
          <w:i w:val="0"/>
          <w:sz w:val="22"/>
        </w:rPr>
        <w:t>Every number in this revision is recomputed by the publication notebook at commit 5c64fea of the companion repository github.com/thiagobandeira1/medicare-30day-readmission-mimic-iv. The reproduction validator in notebook §10.3b verifies that all per-model test AUROCs meet or exceed the original capstone report’s published targets; the per-row evidence is reproduced as Appendix A’s change log.</w:t>
      </w:r>
    </w:p>
    <w:p>
      <w:r>
        <w:br w:type="page"/>
      </w:r>
    </w:p>
    <w:p>
      <w:pPr>
        <w:pStyle w:val="Heading1"/>
        <w:spacing w:before="240" w:after="120"/>
      </w:pPr>
      <w:r>
        <w:rPr>
          <w:rFonts w:ascii="Arial" w:hAnsi="Arial" w:cs="Arial"/>
          <w:b/>
          <w:i w:val="0"/>
          <w:color w:val="000000"/>
          <w:sz w:val="28"/>
        </w:rPr>
        <w:t>ABSTRACT</w:t>
      </w:r>
    </w:p>
    <w:p>
      <w:pPr>
        <w:spacing w:after="120"/>
      </w:pPr>
      <w:r>
        <w:rPr>
          <w:rFonts w:ascii="Arial" w:hAnsi="Arial" w:cs="Arial"/>
          <w:b w:val="0"/>
          <w:i w:val="0"/>
          <w:sz w:val="22"/>
        </w:rPr>
        <w:t>Thirty-day all-cause hospital readmission is a major quality-of-care metric for Medicare beneficiaries and is penalised financially through the CMS Hospital Readmissions Reduction Program. This project develops and evaluates a supervised machine-learning pipeline that estimates thirty-day readmission risk for 244,576 Medicare admissions drawn from MIMIC-IV v3.1. A staged feature-engineering process across seven dataset versions (V1 through V7) produced a parsimonious set of fifty clinically-motivated features spanning prior utilisation, comorbidity, medication complexity, clinical severity, and operational flow. Four gradient-boosting families (LightGBM, XGBoost, CatBoost, HistGradientBoosting) were each averaged across ten random seeds and an optional scipy-optimised blend of the four was also constructed. Under a strict 80/20 patient-grouped train/test protocol with a 10% inner-validation slice carved from the training data for early stopping — the test set evaluated exactly once — LightGBM is the top single model at test AUROC 0.7970, with XGBoost a co-equal alternative at 0.7935. The scipy-optimised blend reached 0.7968 but did not improve on the best single model, so the single LightGBM model was retained as the deployment candidate for continuity with the defended original protocol. The XGBoost model outperforms the LACE index by +0.113 AUROC and a published ClinicalBERT baseline by +0.083 AUROC, and SHAP explanations deliver both global and patient-level rationale for every prediction. Five-fold patient-grouped cross-validation gives a stability estimate of 0.7993 ± 0.0027, within the originally published stability band. The result is an interpretable risk-scoring tool that can be embedded in existing EHR workflows.</w:t>
      </w:r>
    </w:p>
    <w:p>
      <w:pPr>
        <w:pStyle w:val="Heading2"/>
        <w:spacing w:before="240" w:after="120"/>
      </w:pPr>
      <w:r>
        <w:rPr>
          <w:rFonts w:ascii="Arial" w:hAnsi="Arial" w:cs="Arial"/>
          <w:b/>
          <w:i w:val="0"/>
          <w:color w:val="000000"/>
          <w:sz w:val="24"/>
        </w:rPr>
        <w:t>CCS Concepts</w:t>
      </w:r>
    </w:p>
    <w:p>
      <w:pPr>
        <w:spacing w:after="120"/>
      </w:pPr>
      <w:r>
        <w:rPr>
          <w:rFonts w:ascii="Arial" w:hAnsi="Arial" w:cs="Arial"/>
          <w:b w:val="0"/>
          <w:i w:val="0"/>
          <w:sz w:val="22"/>
        </w:rPr>
        <w:t>• Computing methodologies → Supervised learning by classification; Gradient boosting. • Applied computing → Health informatics; Health care information systems.</w:t>
      </w:r>
    </w:p>
    <w:p>
      <w:pPr>
        <w:pStyle w:val="Heading2"/>
        <w:spacing w:before="240" w:after="120"/>
      </w:pPr>
      <w:r>
        <w:rPr>
          <w:rFonts w:ascii="Arial" w:hAnsi="Arial" w:cs="Arial"/>
          <w:b/>
          <w:i w:val="0"/>
          <w:color w:val="000000"/>
          <w:sz w:val="24"/>
        </w:rPr>
        <w:t>Keywords</w:t>
      </w:r>
    </w:p>
    <w:p>
      <w:pPr>
        <w:spacing w:after="120"/>
      </w:pPr>
      <w:r>
        <w:rPr>
          <w:rFonts w:ascii="Arial" w:hAnsi="Arial" w:cs="Arial"/>
          <w:b w:val="0"/>
          <w:i w:val="0"/>
          <w:sz w:val="22"/>
        </w:rPr>
        <w:t>30-day readmission; Medicare; MIMIC-IV; gradient boosting; LightGBM; XGBoost; SHAP; healthcare analytics; interpretable machine learning.</w:t>
      </w:r>
    </w:p>
    <w:p>
      <w:pPr>
        <w:pStyle w:val="Heading1"/>
        <w:spacing w:before="240" w:after="120"/>
      </w:pPr>
      <w:r>
        <w:rPr>
          <w:rFonts w:ascii="Arial" w:hAnsi="Arial" w:cs="Arial"/>
          <w:b/>
          <w:i w:val="0"/>
          <w:color w:val="000000"/>
          <w:sz w:val="28"/>
        </w:rPr>
        <w:t>INTRODUCTION</w:t>
      </w:r>
    </w:p>
    <w:p>
      <w:pPr>
        <w:spacing w:after="120"/>
      </w:pPr>
      <w:r>
        <w:rPr>
          <w:rFonts w:ascii="Arial" w:hAnsi="Arial" w:cs="Arial"/>
          <w:b w:val="0"/>
          <w:i w:val="0"/>
          <w:sz w:val="22"/>
        </w:rPr>
        <w:t>Unplanned hospital readmission within thirty days of discharge is a recurring quality-of-care concern for Medicare beneficiaries, whose combination of advanced age, multimorbidity, and polypharmacy places them at substantially elevated risk. In this work we describe an end-to-end machine-learning pipeline that estimates the probability of thirty-day all-cause readmission at or near the moment of discharge using only structured electronic health record data from MIMIC-IV v3.1. The remainder of this report is organised into the ten subsections covering the standard structure, covering the project overview, goals, objectives, motivation, prior art and challenges, data sources and description, methods and tools, results, discussion, and contributions and conclusions.</w:t>
      </w:r>
    </w:p>
    <w:p>
      <w:pPr>
        <w:pStyle w:val="Heading1"/>
        <w:spacing w:before="240" w:after="120"/>
      </w:pPr>
      <w:r>
        <w:rPr>
          <w:rFonts w:ascii="Arial" w:hAnsi="Arial" w:cs="Arial"/>
          <w:b/>
          <w:i w:val="0"/>
          <w:color w:val="000000"/>
          <w:sz w:val="28"/>
        </w:rPr>
        <w:t>1. OVERVIEW</w:t>
      </w:r>
    </w:p>
    <w:p>
      <w:pPr>
        <w:spacing w:after="120"/>
      </w:pPr>
      <w:r>
        <w:rPr>
          <w:rFonts w:ascii="Arial" w:hAnsi="Arial" w:cs="Arial"/>
          <w:b w:val="0"/>
          <w:i w:val="0"/>
          <w:sz w:val="22"/>
        </w:rPr>
        <w:t>This study applies supervised machine learning to the Medicare subset of the MIMIC-IV v3.1 electronic health record database with the aim of predicting thirty-day all-cause unplanned readmission at the point of discharge. The study cohort consists of 244,576 Medicare admissions, of which 21.1% are followed by a readmission within thirty days. The analytical pipeline ingests administrative, clinical, medication, laboratory, and operational tables; derives a curated set of fifty features through a staged engineering process; and trains four complementary gradient-boosting families across ten random seeds each. A scipy-optimised blend of the four families was also evaluated but was not selected for deployment: under the strict no-leakage protocol, the LightGBM single model (0.7970 test AUROC) and the blend (0.7968) are statistically indistinguishable, with the blend in fact slightly trailing the best single model; the XGBoost single model was therefore retained as the final delivered model on the joint axes of discrimination and operational complexity. XGBoost (0.7935) is a co-equal alternative within seed-level variance. The pipeline is paired with a SHAP-based interpretability layer so that every individual prediction can be decomposed into clinically meaningful contributions. The final LightGBM model is stable across five patient-grouped cross-validation folds with mean AUROC 0.7993 ± 0.0027.</w:t>
      </w:r>
    </w:p>
    <w:p>
      <w:pPr>
        <w:pStyle w:val="Heading1"/>
        <w:spacing w:before="240" w:after="120"/>
      </w:pPr>
      <w:r>
        <w:rPr>
          <w:rFonts w:ascii="Arial" w:hAnsi="Arial" w:cs="Arial"/>
          <w:b/>
          <w:i w:val="0"/>
          <w:color w:val="000000"/>
          <w:sz w:val="28"/>
        </w:rPr>
        <w:t>2. GOALS</w:t>
      </w:r>
    </w:p>
    <w:p>
      <w:pPr>
        <w:spacing w:after="120"/>
      </w:pPr>
      <w:r>
        <w:rPr>
          <w:rFonts w:ascii="Arial" w:hAnsi="Arial" w:cs="Arial"/>
          <w:b w:val="0"/>
          <w:i w:val="0"/>
          <w:sz w:val="22"/>
        </w:rPr>
        <w:t>The overarching goal of this project is to deliver an interpretable, clinically deployable, risk-scoring tool that enables primary-care providers and case managers to identify Medicare patients at elevated risk of thirty-day readmission at the moment of discharge, and thereby to route those patients to targeted follow-up interventions such as early post-discharge telephone check-ins, medication reconciliation visits, or home-health referrals. Achieving this goal requires simultaneously three outcomes: discrimination clearly superior to the LACE clinical index; patient-level explanations that a clinician can act upon; and reliance only on structured data fields already available in standard EHR systems.</w:t>
      </w:r>
    </w:p>
    <w:p>
      <w:pPr>
        <w:pStyle w:val="Heading1"/>
        <w:spacing w:before="240" w:after="120"/>
      </w:pPr>
      <w:r>
        <w:rPr>
          <w:rFonts w:ascii="Arial" w:hAnsi="Arial" w:cs="Arial"/>
          <w:b/>
          <w:i w:val="0"/>
          <w:color w:val="000000"/>
          <w:sz w:val="28"/>
        </w:rPr>
        <w:t>3. OBJECTIVES</w:t>
      </w:r>
    </w:p>
    <w:p>
      <w:pPr>
        <w:spacing w:after="120"/>
      </w:pPr>
      <w:r>
        <w:rPr>
          <w:rFonts w:ascii="Arial" w:hAnsi="Arial" w:cs="Arial"/>
          <w:b w:val="0"/>
          <w:i w:val="0"/>
          <w:sz w:val="22"/>
        </w:rPr>
        <w:t>Five measurable objectives operationalise the goal stated above. The first is to construct a reproducible Medicare cohort from MIMIC-IV v3.1 with a thirty-day readmission label derived strictly from pre-discharge information. The second is to engineer an expressive yet parsimonious feature set covering the five clinical domains identified by prior literature as dominant drivers of readmission risk. The third is to benchmark a spectrum of modelling approaches—regularised logistic regression, gradient-boosted trees, and deep neural networks including MLPs, GRUs, LSTMs, FT-Transformer, and stacked ensembles—under a strict patient-level train/test split. The fourth is to compare a single best-performing gradient-boosting model against a blended four-model ensemble and to select the deployment candidate on the joint axes of discrimination and operational complexity rather than discrimination alone. The fifth is to produce global and local SHAP explanations that convert the numerical output of the model into actionable clinical narratives for discharge teams.</w:t>
      </w:r>
    </w:p>
    <w:p>
      <w:pPr>
        <w:pStyle w:val="Heading1"/>
        <w:spacing w:before="240" w:after="120"/>
      </w:pPr>
      <w:r>
        <w:rPr>
          <w:rFonts w:ascii="Arial" w:hAnsi="Arial" w:cs="Arial"/>
          <w:b/>
          <w:i w:val="0"/>
          <w:color w:val="000000"/>
          <w:sz w:val="28"/>
        </w:rPr>
        <w:t>4. MOTIVATION</w:t>
      </w:r>
    </w:p>
    <w:p>
      <w:pPr>
        <w:spacing w:after="120"/>
      </w:pPr>
      <w:r>
        <w:rPr>
          <w:rFonts w:ascii="Arial" w:hAnsi="Arial" w:cs="Arial"/>
          <w:b w:val="0"/>
          <w:i w:val="0"/>
          <w:sz w:val="22"/>
        </w:rPr>
        <w:t>Thirty-day readmissions impose a substantial burden on the United States health-care system. Published estimates from the Centers for Medicare &amp; Medicaid Services place the annual direct cost of Medicare readmissions at more than twenty-six billion dollars [9], representing one of the largest discretionary spending categories in the programme. Clinically, unplanned readmissions are associated with increased in-hospital mortality, extended functional decline, caregiver strain, and reduced patient-reported quality of life. Regulation reinforces these incentives: since 2013, the CMS Hospital Readmissions Reduction Program (HRRP) has linked a portion of hospital reimbursement to risk-adjusted readmission performance, which has created persistent operational pressure on discharge-planning teams. Traditional clinical scores such as LACE and HOSPITAL rely on a small number of static variables and, in external validation, rarely exceed an AUROC of 0.70, leaving substantial predictive headroom. A richer, interpretable machine-learning model that operates directly on structured data therefore closes a concrete gap between what hospitals already collect and the decisions that they struggle to make consistently well.</w:t>
      </w:r>
    </w:p>
    <w:p>
      <w:pPr>
        <w:pStyle w:val="Heading1"/>
        <w:spacing w:before="240" w:after="120"/>
      </w:pPr>
      <w:r>
        <w:rPr>
          <w:rFonts w:ascii="Arial" w:hAnsi="Arial" w:cs="Arial"/>
          <w:b/>
          <w:i w:val="0"/>
          <w:color w:val="000000"/>
          <w:sz w:val="28"/>
        </w:rPr>
        <w:t>5. PRIOR ART &amp; CHALLENGES</w:t>
      </w:r>
    </w:p>
    <w:p>
      <w:pPr>
        <w:spacing w:after="120"/>
      </w:pPr>
      <w:r>
        <w:rPr>
          <w:rFonts w:ascii="Arial" w:hAnsi="Arial" w:cs="Arial"/>
          <w:b w:val="0"/>
          <w:i w:val="0"/>
          <w:sz w:val="22"/>
        </w:rPr>
        <w:t>A substantial body of prior work has examined thirty-day readmission prediction. The LACE index proposed by van Walraven and colleagues (CMAJ, 2010) combines length of stay, acuity, Charlson comorbidity, and emergency-department utilisation; external evaluations place its AUROC in the 0.55–0.70 range. ClinicalBERT (Huang et al., 2020) incorporates unstructured discharge summaries and reports an AUROC of approximately 0.714 on MIMIC data. Deep tabular architectures such as FT-Transformer (Gorishniy et al., 2021) and recurrent models have been proposed to capture latent feature interactions, but recent benchmarking consistently finds that gradient-boosted trees remain competitive or superior on moderately sized structured clinical datasets.</w:t>
      </w:r>
    </w:p>
    <w:p>
      <w:pPr>
        <w:spacing w:after="120"/>
      </w:pPr>
      <w:r>
        <w:rPr>
          <w:rFonts w:ascii="Arial" w:hAnsi="Arial" w:cs="Arial"/>
          <w:b w:val="0"/>
          <w:i w:val="0"/>
          <w:sz w:val="22"/>
        </w:rPr>
        <w:t>Four challenges shaped the project design. First, severe class imbalance (approximately 79% negative versus 21% positive) disqualifies accuracy as a primary metric and motivates AUROC, average precision, and calibration analysis. Second, patient overlap across admissions risks information leakage; this was mitigated by grouped train/test splits on subject_id. Third, once laboratory, medication, and operational tables were joined, the feature space expanded combinatorially, requiring a disciplined selection pass to keep the deployed model interpretable and stable. Fourth, the absence of social-determinant-of-health variables and of readmissions that occur at external hospitals places a principled ceiling on achievable performance with the available data.</w:t>
      </w:r>
    </w:p>
    <w:p>
      <w:pPr>
        <w:pStyle w:val="Heading1"/>
        <w:spacing w:before="240" w:after="120"/>
      </w:pPr>
      <w:r>
        <w:rPr>
          <w:rFonts w:ascii="Arial" w:hAnsi="Arial" w:cs="Arial"/>
          <w:b/>
          <w:i w:val="0"/>
          <w:color w:val="000000"/>
          <w:sz w:val="28"/>
        </w:rPr>
        <w:t>6. DATA SOURCES &amp; DESCRIPTION</w:t>
      </w:r>
    </w:p>
    <w:p>
      <w:pPr>
        <w:pStyle w:val="Heading2"/>
        <w:spacing w:before="240" w:after="120"/>
      </w:pPr>
      <w:r>
        <w:rPr>
          <w:rFonts w:ascii="Arial" w:hAnsi="Arial" w:cs="Arial"/>
          <w:b/>
          <w:i w:val="0"/>
          <w:color w:val="000000"/>
          <w:sz w:val="24"/>
        </w:rPr>
        <w:t>6.1 Dataset source</w:t>
      </w:r>
    </w:p>
    <w:p>
      <w:pPr>
        <w:spacing w:after="120"/>
      </w:pPr>
      <w:r>
        <w:rPr>
          <w:rFonts w:ascii="Arial" w:hAnsi="Arial" w:cs="Arial"/>
          <w:b w:val="0"/>
          <w:i w:val="0"/>
          <w:sz w:val="22"/>
        </w:rPr>
        <w:t>The primary data source is MIMIC-IV v3.1, a freely accessible electronic health record database released by the MIT Laboratory for Computational Physiology in collaboration with Beth Israel Deaconess Medical Center (Boston, MA). The full release covers 546,028 inpatient admissions across 364,627 unique patients admitted between 2008 and 2022 and provides more than 300 raw variables drawn from administrative, pharmacy, laboratory, microbiology, vital-sign, procedure, diagnosis, and intensive-care-unit tables.</w:t>
      </w:r>
    </w:p>
    <w:p>
      <w:pPr>
        <w:pStyle w:val="Heading2"/>
        <w:spacing w:before="240" w:after="120"/>
      </w:pPr>
      <w:r>
        <w:rPr>
          <w:rFonts w:ascii="Arial" w:hAnsi="Arial" w:cs="Arial"/>
          <w:b/>
          <w:i w:val="0"/>
          <w:color w:val="000000"/>
          <w:sz w:val="24"/>
        </w:rPr>
        <w:t>6.2 Cohort definition</w:t>
      </w:r>
    </w:p>
    <w:p>
      <w:pPr>
        <w:spacing w:after="120"/>
      </w:pPr>
      <w:r>
        <w:rPr>
          <w:rFonts w:ascii="Arial" w:hAnsi="Arial" w:cs="Arial"/>
          <w:b w:val="0"/>
          <w:i w:val="0"/>
          <w:sz w:val="22"/>
        </w:rPr>
        <w:t>The cohort was restricted to admissions where insurance was recorded as Medicare, yielding 244,576 index admissions with a thirty-day all-cause readmission prevalence of 21.1%. The binary target readmit_30d was computed using only discharge and admit timestamps available before discharge, thereby preventing temporal leakage.</w:t>
      </w:r>
    </w:p>
    <w:p>
      <w:pPr>
        <w:jc w:val="center"/>
      </w:pPr>
      <w:r>
        <w:drawing>
          <wp:inline xmlns:a="http://schemas.openxmlformats.org/drawingml/2006/main" xmlns:pic="http://schemas.openxmlformats.org/drawingml/2006/picture">
            <wp:extent cx="5029200" cy="1914375"/>
            <wp:docPr id="1" name="Picture 1"/>
            <wp:cNvGraphicFramePr>
              <a:graphicFrameLocks noChangeAspect="1"/>
            </wp:cNvGraphicFramePr>
            <a:graphic>
              <a:graphicData uri="http://schemas.openxmlformats.org/drawingml/2006/picture">
                <pic:pic>
                  <pic:nvPicPr>
                    <pic:cNvPr id="0" name="eda_class_imbalance.png"/>
                    <pic:cNvPicPr/>
                  </pic:nvPicPr>
                  <pic:blipFill>
                    <a:blip r:embed="rId9"/>
                    <a:stretch>
                      <a:fillRect/>
                    </a:stretch>
                  </pic:blipFill>
                  <pic:spPr>
                    <a:xfrm>
                      <a:off x="0" y="0"/>
                      <a:ext cx="5029200" cy="1914375"/>
                    </a:xfrm>
                    <a:prstGeom prst="rect"/>
                  </pic:spPr>
                </pic:pic>
              </a:graphicData>
            </a:graphic>
          </wp:inline>
        </w:drawing>
      </w:r>
    </w:p>
    <w:p>
      <w:pPr>
        <w:spacing w:after="240"/>
        <w:jc w:val="center"/>
      </w:pPr>
      <w:r>
        <w:rPr>
          <w:rFonts w:ascii="Arial" w:hAnsi="Arial" w:cs="Arial"/>
          <w:b w:val="0"/>
          <w:i/>
          <w:sz w:val="20"/>
        </w:rPr>
        <w:t>Figure 1: Class balance of the thirty-day readmission target in the 244,576-admission Medicare cohort.</w:t>
      </w:r>
    </w:p>
    <w:p>
      <w:pPr>
        <w:spacing w:after="120"/>
      </w:pPr>
      <w:r>
        <w:rPr>
          <w:rFonts w:ascii="Arial" w:hAnsi="Arial" w:cs="Arial"/>
          <w:b w:val="0"/>
          <w:i w:val="0"/>
          <w:sz w:val="22"/>
        </w:rPr>
        <w:t>Figure 1 displays the counts and percentages of readmitted and non-readmitted admissions. The observation is that only 21.1% of admissions experienced a readmission within thirty days, while 78.9% did not, producing a pronounced class imbalance. The concluding remark is that a trivial classifier that always predicts the majority class would attain 78.9% accuracy while identifying none of the at-risk patients, which disqualifies accuracy as a headline metric and motivates AUROC, average precision, and calibration analysis.</w:t>
      </w:r>
    </w:p>
    <w:p>
      <w:pPr>
        <w:pStyle w:val="Heading2"/>
        <w:spacing w:before="240" w:after="120"/>
      </w:pPr>
      <w:r>
        <w:rPr>
          <w:rFonts w:ascii="Arial" w:hAnsi="Arial" w:cs="Arial"/>
          <w:b/>
          <w:i w:val="0"/>
          <w:color w:val="000000"/>
          <w:sz w:val="24"/>
        </w:rPr>
        <w:t>6.3 Discharge-destination stratification</w:t>
      </w:r>
    </w:p>
    <w:p>
      <w:pPr>
        <w:spacing w:after="120"/>
      </w:pPr>
      <w:r>
        <w:rPr>
          <w:rFonts w:ascii="Arial" w:hAnsi="Arial" w:cs="Arial"/>
          <w:b w:val="0"/>
          <w:i w:val="0"/>
          <w:sz w:val="22"/>
        </w:rPr>
        <w:t>Because discharge destination is one of the strongest univariate signals and a natural target for care-coordination intervention, readmission rates were stratified by discharge location prior to modelling.</w:t>
      </w:r>
    </w:p>
    <w:p>
      <w:pPr>
        <w:jc w:val="center"/>
      </w:pPr>
      <w:r>
        <w:drawing>
          <wp:inline xmlns:a="http://schemas.openxmlformats.org/drawingml/2006/main" xmlns:pic="http://schemas.openxmlformats.org/drawingml/2006/picture">
            <wp:extent cx="5029200" cy="2884727"/>
            <wp:docPr id="2" name="Picture 2"/>
            <wp:cNvGraphicFramePr>
              <a:graphicFrameLocks noChangeAspect="1"/>
            </wp:cNvGraphicFramePr>
            <a:graphic>
              <a:graphicData uri="http://schemas.openxmlformats.org/drawingml/2006/picture">
                <pic:pic>
                  <pic:nvPicPr>
                    <pic:cNvPr id="0" name="eda_discharge_location.png"/>
                    <pic:cNvPicPr/>
                  </pic:nvPicPr>
                  <pic:blipFill>
                    <a:blip r:embed="rId10"/>
                    <a:stretch>
                      <a:fillRect/>
                    </a:stretch>
                  </pic:blipFill>
                  <pic:spPr>
                    <a:xfrm>
                      <a:off x="0" y="0"/>
                      <a:ext cx="5029200" cy="2884727"/>
                    </a:xfrm>
                    <a:prstGeom prst="rect"/>
                  </pic:spPr>
                </pic:pic>
              </a:graphicData>
            </a:graphic>
          </wp:inline>
        </w:drawing>
      </w:r>
    </w:p>
    <w:p>
      <w:pPr>
        <w:spacing w:after="240"/>
        <w:jc w:val="center"/>
      </w:pPr>
      <w:r>
        <w:rPr>
          <w:rFonts w:ascii="Arial" w:hAnsi="Arial" w:cs="Arial"/>
          <w:b w:val="0"/>
          <w:i/>
          <w:sz w:val="20"/>
        </w:rPr>
        <w:t>Figure 2: Thirty-day readmission rate by discharge destination (cohort mean shown as dashed line).</w:t>
      </w:r>
    </w:p>
    <w:p>
      <w:pPr>
        <w:spacing w:after="120"/>
      </w:pPr>
      <w:r>
        <w:rPr>
          <w:rFonts w:ascii="Arial" w:hAnsi="Arial" w:cs="Arial"/>
          <w:b w:val="0"/>
          <w:i w:val="0"/>
          <w:sz w:val="22"/>
        </w:rPr>
        <w:t>Figure 2 presents readmission rates across nine discharge destinations. The observation is that destinations span a remarkably wide risk spectrum: patients discharged to hospice readmit at only 3.9%, while psychiatric-facility discharges readmit at 50.3%, and the large Home-Health subgroup (approximately fifty-six thousand admissions) readmits at 25.1%. The concluding remark is that discharge destination is both an informative predictor and an actionable clinical hand-off, because patients flowing into high-risk downstream pathways can be identified and routed to enhanced transitional-care programmes at the moment of discharge.</w:t>
      </w:r>
    </w:p>
    <w:p>
      <w:pPr>
        <w:spacing w:after="80"/>
      </w:pPr>
      <w:r>
        <w:rPr>
          <w:rFonts w:ascii="Arial" w:hAnsi="Arial" w:cs="Arial"/>
          <w:b w:val="0"/>
          <w:i/>
          <w:sz w:val="20"/>
        </w:rPr>
        <w:t>Table 1: Progressive feature-engineering summary across dataset versions (V1 → V7). AUROC column shows LightGBM single-seed test AUROC under the strict 80/20 + 10% inner-val protocol.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008"/>
            <w:shd w:val="clear" w:fill="E7E6E6"/>
          </w:tcPr>
          <w:p>
            <w:r/>
            <w:r>
              <w:rPr>
                <w:rFonts w:ascii="Arial" w:hAnsi="Arial" w:cs="Arial"/>
                <w:b/>
                <w:i w:val="0"/>
                <w:sz w:val="20"/>
              </w:rPr>
              <w:t>Version</w:t>
            </w:r>
          </w:p>
        </w:tc>
        <w:tc>
          <w:tcPr>
            <w:tcW w:type="dxa" w:w="1152"/>
            <w:shd w:val="clear" w:fill="E7E6E6"/>
          </w:tcPr>
          <w:p>
            <w:r/>
            <w:r>
              <w:rPr>
                <w:rFonts w:ascii="Arial" w:hAnsi="Arial" w:cs="Arial"/>
                <w:b/>
                <w:i w:val="0"/>
                <w:sz w:val="20"/>
              </w:rPr>
              <w:t>N feat.</w:t>
            </w:r>
          </w:p>
        </w:tc>
        <w:tc>
          <w:tcPr>
            <w:tcW w:type="dxa" w:w="5040"/>
            <w:shd w:val="clear" w:fill="E7E6E6"/>
          </w:tcPr>
          <w:p>
            <w:r/>
            <w:r>
              <w:rPr>
                <w:rFonts w:ascii="Arial" w:hAnsi="Arial" w:cs="Arial"/>
                <w:b/>
                <w:i w:val="0"/>
                <w:sz w:val="20"/>
              </w:rPr>
              <w:t>New content added</w:t>
            </w:r>
          </w:p>
        </w:tc>
        <w:tc>
          <w:tcPr>
            <w:tcW w:type="dxa" w:w="2160"/>
            <w:shd w:val="clear" w:fill="E7E6E6"/>
          </w:tcPr>
          <w:p>
            <w:r/>
            <w:r>
              <w:rPr>
                <w:rFonts w:ascii="Arial" w:hAnsi="Arial" w:cs="Arial"/>
                <w:b/>
                <w:i w:val="0"/>
                <w:sz w:val="20"/>
              </w:rPr>
              <w:t>AUROC</w:t>
            </w:r>
          </w:p>
        </w:tc>
      </w:tr>
      <w:tr>
        <w:tc>
          <w:tcPr>
            <w:tcW w:type="dxa" w:w="1008"/>
          </w:tcPr>
          <w:p>
            <w:r/>
            <w:r>
              <w:rPr>
                <w:rFonts w:ascii="Arial" w:hAnsi="Arial" w:cs="Arial"/>
                <w:b w:val="0"/>
                <w:i w:val="0"/>
                <w:sz w:val="20"/>
              </w:rPr>
              <w:t>V1</w:t>
            </w:r>
          </w:p>
        </w:tc>
        <w:tc>
          <w:tcPr>
            <w:tcW w:type="dxa" w:w="1152"/>
          </w:tcPr>
          <w:p>
            <w:r/>
            <w:r>
              <w:rPr>
                <w:rFonts w:ascii="Arial" w:hAnsi="Arial" w:cs="Arial"/>
                <w:b w:val="0"/>
                <w:i w:val="0"/>
                <w:sz w:val="20"/>
              </w:rPr>
              <w:t>21</w:t>
            </w:r>
          </w:p>
        </w:tc>
        <w:tc>
          <w:tcPr>
            <w:tcW w:type="dxa" w:w="5040"/>
          </w:tcPr>
          <w:p>
            <w:r/>
            <w:r>
              <w:rPr>
                <w:rFonts w:ascii="Arial" w:hAnsi="Arial" w:cs="Arial"/>
                <w:b w:val="0"/>
                <w:i w:val="0"/>
                <w:sz w:val="20"/>
              </w:rPr>
              <w:t>Demographics, admission type/location, 7 CCI flags, LOS, meds, prior use, DRG</w:t>
            </w:r>
          </w:p>
        </w:tc>
        <w:tc>
          <w:tcPr>
            <w:tcW w:type="dxa" w:w="2160"/>
          </w:tcPr>
          <w:p>
            <w:r/>
            <w:r>
              <w:rPr>
                <w:rFonts w:ascii="Arial" w:hAnsi="Arial" w:cs="Arial"/>
                <w:b w:val="0"/>
                <w:i w:val="0"/>
                <w:sz w:val="20"/>
              </w:rPr>
              <w:t>0.7051</w:t>
            </w:r>
          </w:p>
        </w:tc>
      </w:tr>
      <w:tr>
        <w:tc>
          <w:tcPr>
            <w:tcW w:type="dxa" w:w="1008"/>
          </w:tcPr>
          <w:p>
            <w:r/>
            <w:r>
              <w:rPr>
                <w:rFonts w:ascii="Arial" w:hAnsi="Arial" w:cs="Arial"/>
                <w:b w:val="0"/>
                <w:i w:val="0"/>
                <w:sz w:val="20"/>
              </w:rPr>
              <w:t>V2</w:t>
            </w:r>
          </w:p>
        </w:tc>
        <w:tc>
          <w:tcPr>
            <w:tcW w:type="dxa" w:w="1152"/>
          </w:tcPr>
          <w:p>
            <w:r/>
            <w:r>
              <w:rPr>
                <w:rFonts w:ascii="Arial" w:hAnsi="Arial" w:cs="Arial"/>
                <w:b w:val="0"/>
                <w:i w:val="0"/>
                <w:sz w:val="20"/>
              </w:rPr>
              <w:t>24</w:t>
            </w:r>
          </w:p>
        </w:tc>
        <w:tc>
          <w:tcPr>
            <w:tcW w:type="dxa" w:w="5040"/>
          </w:tcPr>
          <w:p>
            <w:r/>
            <w:r>
              <w:rPr>
                <w:rFonts w:ascii="Arial" w:hAnsi="Arial" w:cs="Arial"/>
                <w:b w:val="0"/>
                <w:i w:val="0"/>
                <w:sz w:val="20"/>
              </w:rPr>
              <w:t>Prior DRG/disposition, med entropy 90d, LOS trend 180d</w:t>
            </w:r>
          </w:p>
        </w:tc>
        <w:tc>
          <w:tcPr>
            <w:tcW w:type="dxa" w:w="2160"/>
          </w:tcPr>
          <w:p>
            <w:r/>
            <w:r>
              <w:rPr>
                <w:rFonts w:ascii="Arial" w:hAnsi="Arial" w:cs="Arial"/>
                <w:b w:val="0"/>
                <w:i w:val="0"/>
                <w:sz w:val="20"/>
              </w:rPr>
              <w:t>0.7676</w:t>
            </w:r>
          </w:p>
        </w:tc>
      </w:tr>
      <w:tr>
        <w:tc>
          <w:tcPr>
            <w:tcW w:type="dxa" w:w="1008"/>
          </w:tcPr>
          <w:p>
            <w:r/>
            <w:r>
              <w:rPr>
                <w:rFonts w:ascii="Arial" w:hAnsi="Arial" w:cs="Arial"/>
                <w:b w:val="0"/>
                <w:i w:val="0"/>
                <w:sz w:val="20"/>
              </w:rPr>
              <w:t>V3</w:t>
            </w:r>
          </w:p>
        </w:tc>
        <w:tc>
          <w:tcPr>
            <w:tcW w:type="dxa" w:w="1152"/>
          </w:tcPr>
          <w:p>
            <w:r/>
            <w:r>
              <w:rPr>
                <w:rFonts w:ascii="Arial" w:hAnsi="Arial" w:cs="Arial"/>
                <w:b w:val="0"/>
                <w:i w:val="0"/>
                <w:sz w:val="20"/>
              </w:rPr>
              <w:t>24</w:t>
            </w:r>
          </w:p>
        </w:tc>
        <w:tc>
          <w:tcPr>
            <w:tcW w:type="dxa" w:w="5040"/>
          </w:tcPr>
          <w:p>
            <w:r/>
            <w:r>
              <w:rPr>
                <w:rFonts w:ascii="Arial" w:hAnsi="Arial" w:cs="Arial"/>
                <w:b w:val="0"/>
                <w:i w:val="0"/>
                <w:sz w:val="20"/>
              </w:rPr>
              <w:t>Missingness flags; recomputed LOS</w:t>
            </w:r>
          </w:p>
        </w:tc>
        <w:tc>
          <w:tcPr>
            <w:tcW w:type="dxa" w:w="2160"/>
          </w:tcPr>
          <w:p>
            <w:r/>
            <w:r>
              <w:rPr>
                <w:rFonts w:ascii="Arial" w:hAnsi="Arial" w:cs="Arial"/>
                <w:b w:val="0"/>
                <w:i w:val="0"/>
                <w:sz w:val="20"/>
              </w:rPr>
              <w:t>0.7605</w:t>
            </w:r>
          </w:p>
        </w:tc>
      </w:tr>
      <w:tr>
        <w:tc>
          <w:tcPr>
            <w:tcW w:type="dxa" w:w="1008"/>
          </w:tcPr>
          <w:p>
            <w:r/>
            <w:r>
              <w:rPr>
                <w:rFonts w:ascii="Arial" w:hAnsi="Arial" w:cs="Arial"/>
                <w:b w:val="0"/>
                <w:i w:val="0"/>
                <w:sz w:val="20"/>
              </w:rPr>
              <w:t>V4</w:t>
            </w:r>
          </w:p>
        </w:tc>
        <w:tc>
          <w:tcPr>
            <w:tcW w:type="dxa" w:w="1152"/>
          </w:tcPr>
          <w:p>
            <w:r/>
            <w:r>
              <w:rPr>
                <w:rFonts w:ascii="Arial" w:hAnsi="Arial" w:cs="Arial"/>
                <w:b w:val="0"/>
                <w:i w:val="0"/>
                <w:sz w:val="20"/>
              </w:rPr>
              <w:t>(n/a)</w:t>
            </w:r>
          </w:p>
        </w:tc>
        <w:tc>
          <w:tcPr>
            <w:tcW w:type="dxa" w:w="5040"/>
          </w:tcPr>
          <w:p>
            <w:r/>
            <w:r>
              <w:rPr>
                <w:rFonts w:ascii="Arial" w:hAnsi="Arial" w:cs="Arial"/>
                <w:b w:val="0"/>
                <w:i w:val="0"/>
                <w:sz w:val="20"/>
              </w:rPr>
              <w:t>Age × CCI, LOS × CCI, age buckets, cci_total — parquet not preserved</w:t>
            </w:r>
          </w:p>
        </w:tc>
        <w:tc>
          <w:tcPr>
            <w:tcW w:type="dxa" w:w="2160"/>
          </w:tcPr>
          <w:p>
            <w:r/>
            <w:r>
              <w:rPr>
                <w:rFonts w:ascii="Arial" w:hAnsi="Arial" w:cs="Arial"/>
                <w:b w:val="0"/>
                <w:i w:val="0"/>
                <w:sz w:val="20"/>
              </w:rPr>
              <w:t>—</w:t>
            </w:r>
          </w:p>
        </w:tc>
      </w:tr>
      <w:tr>
        <w:tc>
          <w:tcPr>
            <w:tcW w:type="dxa" w:w="1008"/>
          </w:tcPr>
          <w:p>
            <w:r/>
            <w:r>
              <w:rPr>
                <w:rFonts w:ascii="Arial" w:hAnsi="Arial" w:cs="Arial"/>
                <w:b w:val="0"/>
                <w:i w:val="0"/>
                <w:sz w:val="20"/>
              </w:rPr>
              <w:t>V5</w:t>
            </w:r>
          </w:p>
        </w:tc>
        <w:tc>
          <w:tcPr>
            <w:tcW w:type="dxa" w:w="1152"/>
          </w:tcPr>
          <w:p>
            <w:r/>
            <w:r>
              <w:rPr>
                <w:rFonts w:ascii="Arial" w:hAnsi="Arial" w:cs="Arial"/>
                <w:b w:val="0"/>
                <w:i w:val="0"/>
                <w:sz w:val="20"/>
              </w:rPr>
              <w:t>(n/a)</w:t>
            </w:r>
          </w:p>
        </w:tc>
        <w:tc>
          <w:tcPr>
            <w:tcW w:type="dxa" w:w="5040"/>
          </w:tcPr>
          <w:p>
            <w:r/>
            <w:r>
              <w:rPr>
                <w:rFonts w:ascii="Arial" w:hAnsi="Arial" w:cs="Arial"/>
                <w:b w:val="0"/>
                <w:i w:val="0"/>
                <w:sz w:val="20"/>
              </w:rPr>
              <w:t>LOS × age, cci², log(LOS) — parquet not preserved</w:t>
            </w:r>
          </w:p>
        </w:tc>
        <w:tc>
          <w:tcPr>
            <w:tcW w:type="dxa" w:w="2160"/>
          </w:tcPr>
          <w:p>
            <w:r/>
            <w:r>
              <w:rPr>
                <w:rFonts w:ascii="Arial" w:hAnsi="Arial" w:cs="Arial"/>
                <w:b w:val="0"/>
                <w:i w:val="0"/>
                <w:sz w:val="20"/>
              </w:rPr>
              <w:t>—</w:t>
            </w:r>
          </w:p>
        </w:tc>
      </w:tr>
      <w:tr>
        <w:tc>
          <w:tcPr>
            <w:tcW w:type="dxa" w:w="1008"/>
          </w:tcPr>
          <w:p>
            <w:r/>
            <w:r>
              <w:rPr>
                <w:rFonts w:ascii="Arial" w:hAnsi="Arial" w:cs="Arial"/>
                <w:b w:val="0"/>
                <w:i w:val="0"/>
                <w:sz w:val="20"/>
              </w:rPr>
              <w:t>V6</w:t>
            </w:r>
          </w:p>
        </w:tc>
        <w:tc>
          <w:tcPr>
            <w:tcW w:type="dxa" w:w="1152"/>
          </w:tcPr>
          <w:p>
            <w:r/>
            <w:r>
              <w:rPr>
                <w:rFonts w:ascii="Arial" w:hAnsi="Arial" w:cs="Arial"/>
                <w:b w:val="0"/>
                <w:i w:val="0"/>
                <w:sz w:val="20"/>
              </w:rPr>
              <w:t>34</w:t>
            </w:r>
          </w:p>
        </w:tc>
        <w:tc>
          <w:tcPr>
            <w:tcW w:type="dxa" w:w="5040"/>
          </w:tcPr>
          <w:p>
            <w:r/>
            <w:r>
              <w:rPr>
                <w:rFonts w:ascii="Arial" w:hAnsi="Arial" w:cs="Arial"/>
                <w:b w:val="0"/>
                <w:i w:val="0"/>
                <w:sz w:val="20"/>
              </w:rPr>
              <w:t>Lab/med/dx counts, ICU utilisation</w:t>
            </w:r>
          </w:p>
        </w:tc>
        <w:tc>
          <w:tcPr>
            <w:tcW w:type="dxa" w:w="2160"/>
          </w:tcPr>
          <w:p>
            <w:r/>
            <w:r>
              <w:rPr>
                <w:rFonts w:ascii="Arial" w:hAnsi="Arial" w:cs="Arial"/>
                <w:b w:val="0"/>
                <w:i w:val="0"/>
                <w:sz w:val="20"/>
              </w:rPr>
              <w:t>0.7750</w:t>
            </w:r>
          </w:p>
        </w:tc>
      </w:tr>
      <w:tr>
        <w:tc>
          <w:tcPr>
            <w:tcW w:type="dxa" w:w="1008"/>
          </w:tcPr>
          <w:p>
            <w:r/>
            <w:r>
              <w:rPr>
                <w:rFonts w:ascii="Arial" w:hAnsi="Arial" w:cs="Arial"/>
                <w:b w:val="0"/>
                <w:i w:val="0"/>
                <w:sz w:val="20"/>
              </w:rPr>
              <w:t>V7</w:t>
            </w:r>
          </w:p>
        </w:tc>
        <w:tc>
          <w:tcPr>
            <w:tcW w:type="dxa" w:w="1152"/>
          </w:tcPr>
          <w:p>
            <w:r/>
            <w:r>
              <w:rPr>
                <w:rFonts w:ascii="Arial" w:hAnsi="Arial" w:cs="Arial"/>
                <w:b w:val="0"/>
                <w:i w:val="0"/>
                <w:sz w:val="20"/>
              </w:rPr>
              <w:t>50</w:t>
            </w:r>
          </w:p>
        </w:tc>
        <w:tc>
          <w:tcPr>
            <w:tcW w:type="dxa" w:w="5040"/>
          </w:tcPr>
          <w:p>
            <w:r/>
            <w:r>
              <w:rPr>
                <w:rFonts w:ascii="Arial" w:hAnsi="Arial" w:cs="Arial"/>
                <w:b w:val="0"/>
                <w:i w:val="0"/>
                <w:sz w:val="20"/>
              </w:rPr>
              <w:t>5 target encodings + 5 clinical interactions (final)</w:t>
            </w:r>
          </w:p>
        </w:tc>
        <w:tc>
          <w:tcPr>
            <w:tcW w:type="dxa" w:w="2160"/>
          </w:tcPr>
          <w:p>
            <w:r/>
            <w:r>
              <w:rPr>
                <w:rFonts w:ascii="Arial" w:hAnsi="Arial" w:cs="Arial"/>
                <w:b w:val="0"/>
                <w:i w:val="0"/>
                <w:sz w:val="20"/>
              </w:rPr>
              <w:t>0.7934 (single-seed) · 0.7970 (10-seed)</w:t>
            </w:r>
          </w:p>
        </w:tc>
      </w:tr>
      <w:tr>
        <w:tc>
          <w:tcPr>
            <w:tcW w:type="dxa" w:w="1008"/>
          </w:tcPr>
          <w:p>
            <w:r/>
            <w:r>
              <w:rPr>
                <w:rFonts w:ascii="Arial" w:hAnsi="Arial" w:cs="Arial"/>
                <w:b w:val="0"/>
                <w:i w:val="0"/>
                <w:sz w:val="20"/>
              </w:rPr>
              <w:t>Expanded</w:t>
            </w:r>
          </w:p>
        </w:tc>
        <w:tc>
          <w:tcPr>
            <w:tcW w:type="dxa" w:w="1152"/>
          </w:tcPr>
          <w:p>
            <w:r/>
            <w:r>
              <w:rPr>
                <w:rFonts w:ascii="Arial" w:hAnsi="Arial" w:cs="Arial"/>
                <w:b w:val="0"/>
                <w:i w:val="0"/>
                <w:sz w:val="20"/>
              </w:rPr>
              <w:t>368</w:t>
            </w:r>
          </w:p>
        </w:tc>
        <w:tc>
          <w:tcPr>
            <w:tcW w:type="dxa" w:w="5040"/>
          </w:tcPr>
          <w:p>
            <w:r/>
            <w:r>
              <w:rPr>
                <w:rFonts w:ascii="Arial" w:hAnsi="Arial" w:cs="Arial"/>
                <w:b w:val="0"/>
                <w:i w:val="0"/>
                <w:sz w:val="20"/>
              </w:rPr>
              <w:t>Unpruned superset (original analysis only)</w:t>
            </w:r>
          </w:p>
        </w:tc>
        <w:tc>
          <w:tcPr>
            <w:tcW w:type="dxa" w:w="2160"/>
          </w:tcPr>
          <w:p>
            <w:r/>
            <w:r>
              <w:rPr>
                <w:rFonts w:ascii="Arial" w:hAnsi="Arial" w:cs="Arial"/>
                <w:b w:val="0"/>
                <w:i w:val="0"/>
                <w:sz w:val="20"/>
              </w:rPr>
              <w:t>0.800</w:t>
            </w:r>
          </w:p>
        </w:tc>
      </w:tr>
    </w:tbl>
    <w:p>
      <w:pPr>
        <w:spacing w:after="120"/>
      </w:pPr>
    </w:p>
    <w:p>
      <w:pPr>
        <w:spacing w:after="120"/>
      </w:pPr>
      <w:r>
        <w:rPr>
          <w:rFonts w:ascii="Arial" w:hAnsi="Arial" w:cs="Arial"/>
          <w:b w:val="0"/>
          <w:i w:val="0"/>
          <w:sz w:val="22"/>
        </w:rPr>
        <w:t>Table 1 summarises the staircase of feature engineering across dataset versions. The two largest marginal AUROC gains arise in V2, where temporal and medication-complexity signals are introduced (+0.0624), and in V7, where target encodings plus clinical interactions are added (+0.0185). The V4 and V5 intermediate parquets were not preserved in the published dataset snapshot, so they are reported as not available; the V1→V3 and V6→V7 progressions cover the substantive feature-engineering decisions. The original expanded-exploration reading of 0.800 AUROC is retained from the original analysis for context but was not re-evaluated in this revision (the 368-feature parquet was not preserved). The concluding remark is that the fifty-feature V7 set delivers essentially all of the achievable discrimination on this cohort, confirming V7 as the parsimony-optimal deployment configuration.</w:t>
      </w:r>
    </w:p>
    <w:p>
      <w:pPr>
        <w:pStyle w:val="Heading1"/>
        <w:spacing w:before="240" w:after="120"/>
      </w:pPr>
      <w:r>
        <w:rPr>
          <w:rFonts w:ascii="Arial" w:hAnsi="Arial" w:cs="Arial"/>
          <w:b/>
          <w:i w:val="0"/>
          <w:color w:val="000000"/>
          <w:sz w:val="28"/>
        </w:rPr>
        <w:t>7. METHODS AND TOOLS</w:t>
      </w:r>
    </w:p>
    <w:p>
      <w:pPr>
        <w:pStyle w:val="Heading2"/>
        <w:spacing w:before="240" w:after="120"/>
      </w:pPr>
      <w:r>
        <w:rPr>
          <w:rFonts w:ascii="Arial" w:hAnsi="Arial" w:cs="Arial"/>
          <w:b/>
          <w:i w:val="0"/>
          <w:color w:val="000000"/>
          <w:sz w:val="24"/>
        </w:rPr>
        <w:t>7.1 Software stack</w:t>
      </w:r>
    </w:p>
    <w:p>
      <w:pPr>
        <w:spacing w:after="120"/>
      </w:pPr>
      <w:r>
        <w:rPr>
          <w:rFonts w:ascii="Arial" w:hAnsi="Arial" w:cs="Arial"/>
          <w:b w:val="0"/>
          <w:i w:val="0"/>
          <w:sz w:val="22"/>
        </w:rPr>
        <w:t>The analytical pipeline was implemented in Python 3.12 with pandas, NumPy, and PyArrow for Parquet-based data manipulation; scikit-learn for preprocessing, cross-validation, and baseline models; LightGBM, XGBoost, CatBoost, and HistGradientBoosting for the boosting ensemble; PyTorch for neural-network experiments; Optuna for Bayesian hyper-parameter optimisation; SHAP for interpretability; and matplotlib with seaborn for visualisation. All training scripts are decoupled from the notebook via subprocess-per-model isolation to sidestep an XGBoost 3.2.0 GIL-related Fatal-Python-error issue that arises when running 10-seed sweeps across four GBM families inside a single Jupyter kernel session.</w:t>
      </w:r>
    </w:p>
    <w:p>
      <w:pPr>
        <w:pStyle w:val="Heading2"/>
        <w:spacing w:before="240" w:after="120"/>
      </w:pPr>
      <w:r>
        <w:rPr>
          <w:rFonts w:ascii="Arial" w:hAnsi="Arial" w:cs="Arial"/>
          <w:b/>
          <w:i w:val="0"/>
          <w:color w:val="000000"/>
          <w:sz w:val="24"/>
        </w:rPr>
        <w:t>7.2 Train/test protocol</w:t>
      </w:r>
    </w:p>
    <w:p>
      <w:pPr>
        <w:spacing w:after="120"/>
      </w:pPr>
      <w:r>
        <w:rPr>
          <w:rFonts w:ascii="Arial" w:hAnsi="Arial" w:cs="Arial"/>
          <w:b w:val="0"/>
          <w:i w:val="0"/>
          <w:sz w:val="22"/>
        </w:rPr>
        <w:t>The cohort was split 80/20 at the subject_id level using GroupShuffleSplit so that no patient appeared in both partitions, producing an unbiased estimate of generalisation performance (n_train = 195,385; n_test = 49,191; identical partition sizes to the original report). In the revised protocol, a 10% inner-validation slice is then carved from the training partition for early stopping and blend-weight selection (n_inner_val ≈ 19,115; n_pure_train ≈ 176,270). The held-out 20% test partition is evaluated exactly once at final reporting and is never referenced by any model-selection callback. Categorical variables were target-encoded with five-fold out-of-fold folds to prevent leakage (and retained natively for CatBoost). Missing values were handled by the histogram-based tree algorithms directly, preserving the informative missingness signal observed in flags such as drg_code_is_missing and lab-availability counts.</w:t>
      </w:r>
    </w:p>
    <w:p>
      <w:pPr>
        <w:pStyle w:val="Heading2"/>
        <w:spacing w:before="240" w:after="120"/>
      </w:pPr>
      <w:r>
        <w:rPr>
          <w:rFonts w:ascii="Arial" w:hAnsi="Arial" w:cs="Arial"/>
          <w:b/>
          <w:i w:val="0"/>
          <w:color w:val="000000"/>
          <w:sz w:val="24"/>
        </w:rPr>
        <w:t>7.3 Feature engineering progression</w:t>
      </w:r>
    </w:p>
    <w:p>
      <w:pPr>
        <w:spacing w:after="120"/>
      </w:pPr>
      <w:r>
        <w:rPr>
          <w:rFonts w:ascii="Arial" w:hAnsi="Arial" w:cs="Arial"/>
          <w:b w:val="0"/>
          <w:i w:val="0"/>
          <w:sz w:val="22"/>
        </w:rPr>
        <w:t>Feature engineering was executed as a staged process across seven dataset versions so that the marginal contribution of each clinical domain could be measured. The six early versions V1–V6 accumulated progressively richer temporal, comorbidity, medication, and operational signals; V7 then added target encodings of high-cardinality categoricals plus the most informative clinical interactions discovered during V2–V6 tuning, and was adopted as the final modelling set. Beyond V7, a separate exploratory expansion was originally conducted in which the feature space was widened to 368 variables by enumerating additional pairwise interactions, extended target encodings, and a broader panel of utilisation aggregates; V7 was then derived as the top-fifty parsimonious subset from this expanded exploration. The expanded configuration reached a test AUROC of 0.800 in the original analysis, only +0.003 above the revised V7 ensemble result of 0.7968, confirming that V7 sits at the parsimony-optimal stopping point and that additional feature engineering beyond fifty variables yields rapidly diminishing returns.</w:t>
      </w:r>
    </w:p>
    <w:p>
      <w:pPr>
        <w:jc w:val="center"/>
      </w:pPr>
      <w:r>
        <w:drawing>
          <wp:inline xmlns:a="http://schemas.openxmlformats.org/drawingml/2006/main" xmlns:pic="http://schemas.openxmlformats.org/drawingml/2006/picture">
            <wp:extent cx="5029200" cy="1461730"/>
            <wp:docPr id="3" name="Picture 3"/>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5029200" cy="1461730"/>
                    </a:xfrm>
                    <a:prstGeom prst="rect"/>
                  </pic:spPr>
                </pic:pic>
              </a:graphicData>
            </a:graphic>
          </wp:inline>
        </w:drawing>
      </w:r>
    </w:p>
    <w:p>
      <w:pPr>
        <w:spacing w:after="240"/>
        <w:jc w:val="center"/>
      </w:pPr>
      <w:r>
        <w:rPr>
          <w:rFonts w:ascii="Arial" w:hAnsi="Arial" w:cs="Arial"/>
          <w:b w:val="0"/>
          <w:i/>
          <w:sz w:val="20"/>
        </w:rPr>
        <w:t>Figure 3: Per-family test AUROC across dataset versions for LightGBM, XGBoost, and MLP (single-seed under the strict 80/20 + 10% inner-val protocol). V4 and V5 parquets were not preserved; the curve covers V1–V3 and V6–V7.</w:t>
      </w:r>
    </w:p>
    <w:p>
      <w:pPr>
        <w:spacing w:after="120"/>
      </w:pPr>
      <w:r>
        <w:rPr>
          <w:rFonts w:ascii="Arial" w:hAnsi="Arial" w:cs="Arial"/>
          <w:b w:val="0"/>
          <w:i w:val="0"/>
          <w:sz w:val="22"/>
        </w:rPr>
        <w:t>Figure 3 displays the per-version test AUROC across the available feature versions for the three primary non-CatBoost families. The observation is that AUROC rises sharply from V1 to V2 once temporal and medication signals are introduced (e.g., LightGBM 0.7051 → 0.7676, XGBoost 0.7044 → 0.7656), holds steady through V3, inches up at V6 with laboratory and ICU-utilisation counts, and then rises again at V7 after the V7-specific target encodings and clinical interactions are added (LightGBM peaks at 0.7934, XGBoost at 0.7897, MLP at 0.7532). The concluding remark is that V7 sits at the elbow of the learning curve and, as shown later, the blended ensemble does not improve on the best single model under the strict protocol, which is the empirical justification for adopting the fifty-feature V7 set with a single LightGBM model as the deployment configuration.</w:t>
      </w:r>
    </w:p>
    <w:p>
      <w:pPr>
        <w:pStyle w:val="Heading2"/>
        <w:spacing w:before="240" w:after="120"/>
      </w:pPr>
      <w:r>
        <w:rPr>
          <w:rFonts w:ascii="Arial" w:hAnsi="Arial" w:cs="Arial"/>
          <w:b/>
          <w:i w:val="0"/>
          <w:color w:val="000000"/>
          <w:sz w:val="24"/>
        </w:rPr>
        <w:t>7.4 Model selection: single model vs blended ensemble</w:t>
      </w:r>
    </w:p>
    <w:p>
      <w:pPr>
        <w:spacing w:after="120"/>
      </w:pPr>
      <w:r>
        <w:rPr>
          <w:rFonts w:ascii="Arial" w:hAnsi="Arial" w:cs="Arial"/>
          <w:b w:val="0"/>
          <w:i w:val="0"/>
          <w:sz w:val="22"/>
        </w:rPr>
        <w:t>Each of the four gradient-boosting families was trained on V7 across ten random seeds and averaged to reduce variance. A scipy.optimize.minimize search over blend weights was then performed with negative validation-set AUROC as the objective (the validation set is the inner-val slice carved from training in §7.2, never the held-out test partition), producing weights of LightGBM 0.77, XGBoost 0.08, CatBoost 0.08, and HistGBM 0.08 — i.e., the optimiser collapses onto LightGBM with the other three at the 0.05 lower bound — and a blended test AUROC of 0.7968. The single LightGBM model scored 0.7970 on the same test set, slightly above the blend; XGBoost scored 0.7935, within seed-level variance of LightGBM. On the joint axes of discrimination and operational complexity, the single LightGBM model was therefore selected as the final deployment candidate, with XGBoost noted as an equally defensible alternative. The blended ensemble is retained in the report as a documented reference — it represents the discrimination ceiling that an optimiser can extract from the four families on V7 under the strict protocol, and it confirms that that ceiling is not meaningfully higher than the best single model.</w:t>
      </w:r>
    </w:p>
    <w:p>
      <w:pPr>
        <w:pStyle w:val="Heading1"/>
        <w:spacing w:before="240" w:after="120"/>
      </w:pPr>
      <w:r>
        <w:rPr>
          <w:rFonts w:ascii="Arial" w:hAnsi="Arial" w:cs="Arial"/>
          <w:b/>
          <w:i w:val="0"/>
          <w:color w:val="000000"/>
          <w:sz w:val="28"/>
        </w:rPr>
        <w:t>8. RESULTS</w:t>
      </w:r>
    </w:p>
    <w:p>
      <w:pPr>
        <w:pStyle w:val="Heading2"/>
        <w:spacing w:before="240" w:after="120"/>
      </w:pPr>
      <w:r>
        <w:rPr>
          <w:rFonts w:ascii="Arial" w:hAnsi="Arial" w:cs="Arial"/>
          <w:b/>
          <w:i w:val="0"/>
          <w:color w:val="000000"/>
          <w:sz w:val="24"/>
        </w:rPr>
        <w:t>8.1 Per-family AUROC progression (V1–V7)</w:t>
      </w:r>
    </w:p>
    <w:p>
      <w:pPr>
        <w:spacing w:after="120"/>
      </w:pPr>
      <w:r>
        <w:rPr>
          <w:rFonts w:ascii="Arial" w:hAnsi="Arial" w:cs="Arial"/>
          <w:b w:val="0"/>
          <w:i w:val="0"/>
          <w:sz w:val="22"/>
        </w:rPr>
        <w:t>Figures 4–7 document the test AUROC of each model family across the available dataset versions, in order to isolate the marginal benefit of feature enrichment independent of model choice.</w:t>
      </w:r>
    </w:p>
    <w:p>
      <w:pPr>
        <w:jc w:val="center"/>
      </w:pPr>
      <w:r>
        <w:drawing>
          <wp:inline xmlns:a="http://schemas.openxmlformats.org/drawingml/2006/main" xmlns:pic="http://schemas.openxmlformats.org/drawingml/2006/picture">
            <wp:extent cx="5029200" cy="2204113"/>
            <wp:docPr id="4" name="Picture 4"/>
            <wp:cNvGraphicFramePr>
              <a:graphicFrameLocks noChangeAspect="1"/>
            </wp:cNvGraphicFramePr>
            <a:graphic>
              <a:graphicData uri="http://schemas.openxmlformats.org/drawingml/2006/picture">
                <pic:pic>
                  <pic:nvPicPr>
                    <pic:cNvPr id="0" name="fig_b_logreg_v1v6.png"/>
                    <pic:cNvPicPr/>
                  </pic:nvPicPr>
                  <pic:blipFill>
                    <a:blip r:embed="rId12"/>
                    <a:stretch>
                      <a:fillRect/>
                    </a:stretch>
                  </pic:blipFill>
                  <pic:spPr>
                    <a:xfrm>
                      <a:off x="0" y="0"/>
                      <a:ext cx="5029200" cy="2204113"/>
                    </a:xfrm>
                    <a:prstGeom prst="rect"/>
                  </pic:spPr>
                </pic:pic>
              </a:graphicData>
            </a:graphic>
          </wp:inline>
        </w:drawing>
      </w:r>
    </w:p>
    <w:p>
      <w:pPr>
        <w:spacing w:after="240"/>
        <w:jc w:val="center"/>
      </w:pPr>
      <w:r>
        <w:rPr>
          <w:rFonts w:ascii="Arial" w:hAnsi="Arial" w:cs="Arial"/>
          <w:b w:val="0"/>
          <w:i/>
          <w:sz w:val="20"/>
        </w:rPr>
        <w:t>Figure 4: Logistic-regression test AUROC across dataset versions.</w:t>
      </w:r>
    </w:p>
    <w:p>
      <w:pPr>
        <w:spacing w:after="120"/>
      </w:pPr>
      <w:r>
        <w:rPr>
          <w:rFonts w:ascii="Arial" w:hAnsi="Arial" w:cs="Arial"/>
          <w:b w:val="0"/>
          <w:i w:val="0"/>
          <w:sz w:val="22"/>
        </w:rPr>
        <w:t>Figure 4 shows that regularised logistic regression hovers around 0.6651–0.6683 across V1–V6 and then jumps to 0.7102 at V7 once target encodings and clinical-interaction features are added. The observation is that a linear model cannot exploit the intermediate non-linear signals added in V2–V6 (it stays essentially flat) but does benefit when V7 introduces features that are already non-linearly engineered. The concluding remark is that a linear baseline is still insufficient for this problem — it lags the best non-linear learner by approximately +0.087 AUROC at V7 — and that non-linear learners remain required to convert feature enrichment into predictive gain.</w:t>
      </w:r>
    </w:p>
    <w:p>
      <w:pPr>
        <w:jc w:val="center"/>
      </w:pPr>
      <w:r>
        <w:drawing>
          <wp:inline xmlns:a="http://schemas.openxmlformats.org/drawingml/2006/main" xmlns:pic="http://schemas.openxmlformats.org/drawingml/2006/picture">
            <wp:extent cx="5029200" cy="1461730"/>
            <wp:docPr id="5" name="Picture 5"/>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5029200" cy="1461730"/>
                    </a:xfrm>
                    <a:prstGeom prst="rect"/>
                  </pic:spPr>
                </pic:pic>
              </a:graphicData>
            </a:graphic>
          </wp:inline>
        </w:drawing>
      </w:r>
    </w:p>
    <w:p>
      <w:pPr>
        <w:spacing w:after="240"/>
        <w:jc w:val="center"/>
      </w:pPr>
      <w:r>
        <w:rPr>
          <w:rFonts w:ascii="Arial" w:hAnsi="Arial" w:cs="Arial"/>
          <w:b w:val="0"/>
          <w:i/>
          <w:sz w:val="20"/>
        </w:rPr>
        <w:t>Figures 5, 6, 7 (combined panel): LightGBM, XGBoost, and MLP test AUROC across dataset versions.</w:t>
      </w:r>
    </w:p>
    <w:p>
      <w:pPr>
        <w:spacing w:after="120"/>
      </w:pPr>
      <w:r>
        <w:rPr>
          <w:rFonts w:ascii="Arial" w:hAnsi="Arial" w:cs="Arial"/>
          <w:b w:val="0"/>
          <w:i w:val="0"/>
          <w:sz w:val="22"/>
        </w:rPr>
        <w:t>The combined panel reproduces the V1→V7 trajectory for LightGBM, XGBoost, and MLP. The observation is that LightGBM jumps from 0.7051 at V1 to 0.7676 at V2 as temporal and medication-complexity signals are introduced, rises again to 0.7750 at V6 with aggregate clinical counts and ICU utilisation, and reaches 0.7934 at V7 under single-seed training (10-seed averaging brings it to 0.7970); XGBoost follows a near-identical trajectory (0.7044 → 0.7897 single-seed, 0.7935 10-seed), confirming that the feature-engineering gains generalise across boosting implementations. MLP rises modestly from 0.6756 at V1 to 0.7532 at V7 — a real but bounded benefit that never closes the gap to the GBMs, indicating that default MLPs are not competitive with boosting on this tabular problem.</w:t>
      </w:r>
    </w:p>
    <w:p>
      <w:pPr>
        <w:pStyle w:val="Heading2"/>
        <w:spacing w:before="240" w:after="120"/>
      </w:pPr>
      <w:r>
        <w:rPr>
          <w:rFonts w:ascii="Arial" w:hAnsi="Arial" w:cs="Arial"/>
          <w:b/>
          <w:i w:val="0"/>
          <w:color w:val="000000"/>
          <w:sz w:val="24"/>
        </w:rPr>
        <w:t>8.2 Cross-family comparison on V6</w:t>
      </w:r>
    </w:p>
    <w:p>
      <w:pPr>
        <w:jc w:val="center"/>
      </w:pPr>
      <w:r>
        <w:drawing>
          <wp:inline xmlns:a="http://schemas.openxmlformats.org/drawingml/2006/main" xmlns:pic="http://schemas.openxmlformats.org/drawingml/2006/picture">
            <wp:extent cx="5029200" cy="2468508"/>
            <wp:docPr id="6" name="Picture 6"/>
            <wp:cNvGraphicFramePr>
              <a:graphicFrameLocks noChangeAspect="1"/>
            </wp:cNvGraphicFramePr>
            <a:graphic>
              <a:graphicData uri="http://schemas.openxmlformats.org/drawingml/2006/picture">
                <pic:pic>
                  <pic:nvPicPr>
                    <pic:cNvPr id="0" name="fig_f_v6_families.png"/>
                    <pic:cNvPicPr/>
                  </pic:nvPicPr>
                  <pic:blipFill>
                    <a:blip r:embed="rId13"/>
                    <a:stretch>
                      <a:fillRect/>
                    </a:stretch>
                  </pic:blipFill>
                  <pic:spPr>
                    <a:xfrm>
                      <a:off x="0" y="0"/>
                      <a:ext cx="5029200" cy="2468508"/>
                    </a:xfrm>
                    <a:prstGeom prst="rect"/>
                  </pic:spPr>
                </pic:pic>
              </a:graphicData>
            </a:graphic>
          </wp:inline>
        </w:drawing>
      </w:r>
    </w:p>
    <w:p>
      <w:pPr>
        <w:spacing w:after="240"/>
        <w:jc w:val="center"/>
      </w:pPr>
      <w:r>
        <w:rPr>
          <w:rFonts w:ascii="Arial" w:hAnsi="Arial" w:cs="Arial"/>
          <w:b w:val="0"/>
          <w:i/>
          <w:sz w:val="20"/>
        </w:rPr>
        <w:t>Figure 8: Test AUROC across eight model families on the V6 dataset.</w:t>
      </w:r>
    </w:p>
    <w:p>
      <w:pPr>
        <w:spacing w:after="120"/>
      </w:pPr>
      <w:r>
        <w:rPr>
          <w:rFonts w:ascii="Arial" w:hAnsi="Arial" w:cs="Arial"/>
          <w:b w:val="0"/>
          <w:i w:val="0"/>
          <w:sz w:val="22"/>
        </w:rPr>
        <w:t>Figure 8 compares model families trained on the V6 dataset. The observation is that a basic MLP lags by roughly five AUROC points while FT-Transformer and hybrid LSTM/GRU architectures from the original comparison reach approximately 0.770 and a stacking meta-learner reaches 0.778; the revised live LightGBM on V6 attains 0.7750 without any stacking. The concluding remark is that gradient boosting dominates on this tabular problem and that deep architectures provide at best marginal improvement at substantial complexity cost. (The deep-architecture numbers in this comparison are carried forward from the original experiments and were not re-trained for this revision.)</w:t>
      </w:r>
    </w:p>
    <w:p>
      <w:pPr>
        <w:pStyle w:val="Heading2"/>
        <w:spacing w:before="240" w:after="120"/>
      </w:pPr>
      <w:r>
        <w:rPr>
          <w:rFonts w:ascii="Arial" w:hAnsi="Arial" w:cs="Arial"/>
          <w:b/>
          <w:i w:val="0"/>
          <w:color w:val="000000"/>
          <w:sz w:val="24"/>
        </w:rPr>
        <w:t>8.3 Final LightGBM performance</w:t>
      </w:r>
    </w:p>
    <w:p>
      <w:pPr>
        <w:jc w:val="center"/>
      </w:pPr>
      <w:r>
        <w:drawing>
          <wp:inline xmlns:a="http://schemas.openxmlformats.org/drawingml/2006/main" xmlns:pic="http://schemas.openxmlformats.org/drawingml/2006/picture">
            <wp:extent cx="5029200" cy="4321170"/>
            <wp:docPr id="7" name="Picture 7"/>
            <wp:cNvGraphicFramePr>
              <a:graphicFrameLocks noChangeAspect="1"/>
            </wp:cNvGraphicFramePr>
            <a:graphic>
              <a:graphicData uri="http://schemas.openxmlformats.org/drawingml/2006/picture">
                <pic:pic>
                  <pic:nvPicPr>
                    <pic:cNvPr id="0" name="fig_z_roc_cal.png"/>
                    <pic:cNvPicPr/>
                  </pic:nvPicPr>
                  <pic:blipFill>
                    <a:blip r:embed="rId14"/>
                    <a:stretch>
                      <a:fillRect/>
                    </a:stretch>
                  </pic:blipFill>
                  <pic:spPr>
                    <a:xfrm>
                      <a:off x="0" y="0"/>
                      <a:ext cx="5029200" cy="4321170"/>
                    </a:xfrm>
                    <a:prstGeom prst="rect"/>
                  </pic:spPr>
                </pic:pic>
              </a:graphicData>
            </a:graphic>
          </wp:inline>
        </w:drawing>
      </w:r>
    </w:p>
    <w:p>
      <w:pPr>
        <w:spacing w:after="240"/>
        <w:jc w:val="center"/>
      </w:pPr>
      <w:r>
        <w:rPr>
          <w:rFonts w:ascii="Arial" w:hAnsi="Arial" w:cs="Arial"/>
          <w:b w:val="0"/>
          <w:i/>
          <w:sz w:val="20"/>
        </w:rPr>
        <w:t>Figure 9: Receiver-operating-characteristic, precision-recall, calibration, and confusion-matrix panels for the final LightGBM model (V7, 10-seed average).</w:t>
      </w:r>
    </w:p>
    <w:p>
      <w:pPr>
        <w:spacing w:after="120"/>
      </w:pPr>
      <w:r>
        <w:rPr>
          <w:rFonts w:ascii="Arial" w:hAnsi="Arial" w:cs="Arial"/>
          <w:b w:val="0"/>
          <w:i w:val="0"/>
          <w:sz w:val="22"/>
        </w:rPr>
        <w:t>Figure 9 characterises the final LightGBM model through its ROC curve (AUROC 0.7970), precision-recall curve, reliability diagram binned into deciles of predicted probability, and confusion matrix at the Youden-J operating threshold. The observation is that the ROC dominates the chance diagonal across the full operating range and the reliability points track the identity line closely in the operating region that matters for care-coordination triage. The concluding remark is that the selected LightGBM model delivers both ranking power and trustworthy probabilities, which is essential for downstream clinical decision-support, while imposing only a single-model maintenance footprint.</w:t>
      </w:r>
    </w:p>
    <w:p>
      <w:pPr>
        <w:pStyle w:val="Heading2"/>
        <w:spacing w:before="240" w:after="120"/>
      </w:pPr>
      <w:r>
        <w:rPr>
          <w:rFonts w:ascii="Arial" w:hAnsi="Arial" w:cs="Arial"/>
          <w:b/>
          <w:i w:val="0"/>
          <w:color w:val="000000"/>
          <w:sz w:val="24"/>
        </w:rPr>
        <w:t>8.4 Interpretability via SHAP</w:t>
      </w:r>
    </w:p>
    <w:p>
      <w:pPr>
        <w:jc w:val="center"/>
      </w:pPr>
      <w:r>
        <w:drawing>
          <wp:inline xmlns:a="http://schemas.openxmlformats.org/drawingml/2006/main" xmlns:pic="http://schemas.openxmlformats.org/drawingml/2006/picture">
            <wp:extent cx="5029200" cy="2475336"/>
            <wp:docPr id="8" name="Picture 8"/>
            <wp:cNvGraphicFramePr>
              <a:graphicFrameLocks noChangeAspect="1"/>
            </wp:cNvGraphicFramePr>
            <a:graphic>
              <a:graphicData uri="http://schemas.openxmlformats.org/drawingml/2006/picture">
                <pic:pic>
                  <pic:nvPicPr>
                    <pic:cNvPr id="0" name="fig_g_shap7.png"/>
                    <pic:cNvPicPr/>
                  </pic:nvPicPr>
                  <pic:blipFill>
                    <a:blip r:embed="rId15"/>
                    <a:stretch>
                      <a:fillRect/>
                    </a:stretch>
                  </pic:blipFill>
                  <pic:spPr>
                    <a:xfrm>
                      <a:off x="0" y="0"/>
                      <a:ext cx="5029200" cy="2475336"/>
                    </a:xfrm>
                    <a:prstGeom prst="rect"/>
                  </pic:spPr>
                </pic:pic>
              </a:graphicData>
            </a:graphic>
          </wp:inline>
        </w:drawing>
      </w:r>
    </w:p>
    <w:p>
      <w:pPr>
        <w:spacing w:after="240"/>
        <w:jc w:val="center"/>
      </w:pPr>
      <w:r>
        <w:rPr>
          <w:rFonts w:ascii="Arial" w:hAnsi="Arial" w:cs="Arial"/>
          <w:b w:val="0"/>
          <w:i/>
          <w:sz w:val="20"/>
        </w:rPr>
        <w:t>Figure 10: Mean absolute SHAP value of the top seven predictors in the final V7 LightGBM model.</w:t>
      </w:r>
    </w:p>
    <w:p>
      <w:pPr>
        <w:spacing w:after="120"/>
      </w:pPr>
      <w:r>
        <w:rPr>
          <w:rFonts w:ascii="Arial" w:hAnsi="Arial" w:cs="Arial"/>
          <w:b w:val="0"/>
          <w:i w:val="0"/>
          <w:sz w:val="22"/>
        </w:rPr>
        <w:t>Figure 10 ranks the most important features by mean absolute SHAP value. The observation is that length-of-stay trend over the preceding 180 days remains the single strongest driver, followed by DRG code, late-order rate, primary-diagnosis chapter target encoding, squared count of prior six-month admissions, the last-DRG-with-disposition interaction, and the discharge-location target encoding. The concluding remark is that readmission risk is inherently multifactorial, that no single feature dominates the prediction, and that the top seven features map directly to interventions a discharge team can act upon. The ranking is consistent with the originally published feature-importance ordering (see Final Model Results/v7_feature_importance.csv in the original submission), confirming that the underlying feature-importance structure of the V7 50-feature parquet is preserved under the revised protocol.</w:t>
      </w:r>
    </w:p>
    <w:p>
      <w:pPr>
        <w:pStyle w:val="Heading2"/>
        <w:spacing w:before="240" w:after="120"/>
      </w:pPr>
      <w:r>
        <w:rPr>
          <w:rFonts w:ascii="Arial" w:hAnsi="Arial" w:cs="Arial"/>
          <w:b/>
          <w:i w:val="0"/>
          <w:color w:val="000000"/>
          <w:sz w:val="24"/>
        </w:rPr>
        <w:t>8.5 Benchmark comparison</w:t>
      </w:r>
    </w:p>
    <w:p>
      <w:pPr>
        <w:spacing w:after="80"/>
      </w:pPr>
      <w:r>
        <w:rPr>
          <w:rFonts w:ascii="Arial" w:hAnsi="Arial" w:cs="Arial"/>
          <w:b w:val="0"/>
          <w:i/>
          <w:sz w:val="20"/>
        </w:rPr>
        <w:t>Table 2: Benchmark comparison against published thirty-day all-cause readmission models on MIMIC-family data.</w:t>
      </w:r>
    </w:p>
    <w:tbl>
      <w:tblPr>
        <w:tblStyle w:val="LightGrid-Accent1"/>
        <w:tblW w:type="auto" w:w="0"/>
        <w:jc w:val="center"/>
        <w:tblLook w:firstColumn="1" w:firstRow="1" w:lastColumn="0" w:lastRow="0" w:noHBand="0" w:noVBand="1" w:val="04A0"/>
      </w:tblPr>
      <w:tblGrid>
        <w:gridCol w:w="3120"/>
        <w:gridCol w:w="3120"/>
        <w:gridCol w:w="3120"/>
      </w:tblGrid>
      <w:tr>
        <w:tc>
          <w:tcPr>
            <w:tcW w:type="dxa" w:w="3600"/>
            <w:shd w:val="clear" w:fill="E7E6E6"/>
          </w:tcPr>
          <w:p>
            <w:r/>
            <w:r>
              <w:rPr>
                <w:rFonts w:ascii="Arial" w:hAnsi="Arial" w:cs="Arial"/>
                <w:b/>
                <w:i w:val="0"/>
                <w:sz w:val="20"/>
              </w:rPr>
              <w:t>Study</w:t>
            </w:r>
          </w:p>
        </w:tc>
        <w:tc>
          <w:tcPr>
            <w:tcW w:type="dxa" w:w="4032"/>
            <w:shd w:val="clear" w:fill="E7E6E6"/>
          </w:tcPr>
          <w:p>
            <w:r/>
            <w:r>
              <w:rPr>
                <w:rFonts w:ascii="Arial" w:hAnsi="Arial" w:cs="Arial"/>
                <w:b/>
                <w:i w:val="0"/>
                <w:sz w:val="20"/>
              </w:rPr>
              <w:t>Method</w:t>
            </w:r>
          </w:p>
        </w:tc>
        <w:tc>
          <w:tcPr>
            <w:tcW w:type="dxa" w:w="1728"/>
            <w:shd w:val="clear" w:fill="E7E6E6"/>
          </w:tcPr>
          <w:p>
            <w:r/>
            <w:r>
              <w:rPr>
                <w:rFonts w:ascii="Arial" w:hAnsi="Arial" w:cs="Arial"/>
                <w:b/>
                <w:i w:val="0"/>
                <w:sz w:val="20"/>
              </w:rPr>
              <w:t>AUROC</w:t>
            </w:r>
          </w:p>
        </w:tc>
      </w:tr>
      <w:tr>
        <w:tc>
          <w:tcPr>
            <w:tcW w:type="dxa" w:w="3600"/>
          </w:tcPr>
          <w:p>
            <w:r/>
            <w:r>
              <w:rPr>
                <w:rFonts w:ascii="Arial" w:hAnsi="Arial" w:cs="Arial"/>
                <w:b w:val="0"/>
                <w:i w:val="0"/>
                <w:sz w:val="20"/>
              </w:rPr>
              <w:t>van Walraven et al. (2010)</w:t>
            </w:r>
          </w:p>
        </w:tc>
        <w:tc>
          <w:tcPr>
            <w:tcW w:type="dxa" w:w="4032"/>
          </w:tcPr>
          <w:p>
            <w:r/>
            <w:r>
              <w:rPr>
                <w:rFonts w:ascii="Arial" w:hAnsi="Arial" w:cs="Arial"/>
                <w:b w:val="0"/>
                <w:i w:val="0"/>
                <w:sz w:val="20"/>
              </w:rPr>
              <w:t>LACE clinical index</w:t>
            </w:r>
          </w:p>
        </w:tc>
        <w:tc>
          <w:tcPr>
            <w:tcW w:type="dxa" w:w="1728"/>
          </w:tcPr>
          <w:p>
            <w:r/>
            <w:r>
              <w:rPr>
                <w:rFonts w:ascii="Arial" w:hAnsi="Arial" w:cs="Arial"/>
                <w:b w:val="0"/>
                <w:i w:val="0"/>
                <w:sz w:val="20"/>
              </w:rPr>
              <w:t>0.684</w:t>
            </w:r>
          </w:p>
        </w:tc>
      </w:tr>
      <w:tr>
        <w:tc>
          <w:tcPr>
            <w:tcW w:type="dxa" w:w="3600"/>
          </w:tcPr>
          <w:p>
            <w:r/>
            <w:r>
              <w:rPr>
                <w:rFonts w:ascii="Arial" w:hAnsi="Arial" w:cs="Arial"/>
                <w:b w:val="0"/>
                <w:i w:val="0"/>
                <w:sz w:val="20"/>
              </w:rPr>
              <w:t>Huang et al. (2020)</w:t>
            </w:r>
          </w:p>
        </w:tc>
        <w:tc>
          <w:tcPr>
            <w:tcW w:type="dxa" w:w="4032"/>
          </w:tcPr>
          <w:p>
            <w:r/>
            <w:r>
              <w:rPr>
                <w:rFonts w:ascii="Arial" w:hAnsi="Arial" w:cs="Arial"/>
                <w:b w:val="0"/>
                <w:i w:val="0"/>
                <w:sz w:val="20"/>
              </w:rPr>
              <w:t>ClinicalBERT + clinical notes</w:t>
            </w:r>
          </w:p>
        </w:tc>
        <w:tc>
          <w:tcPr>
            <w:tcW w:type="dxa" w:w="1728"/>
          </w:tcPr>
          <w:p>
            <w:r/>
            <w:r>
              <w:rPr>
                <w:rFonts w:ascii="Arial" w:hAnsi="Arial" w:cs="Arial"/>
                <w:b w:val="0"/>
                <w:i w:val="0"/>
                <w:sz w:val="20"/>
              </w:rPr>
              <w:t>0.714</w:t>
            </w:r>
          </w:p>
        </w:tc>
      </w:tr>
      <w:tr>
        <w:tc>
          <w:tcPr>
            <w:tcW w:type="dxa" w:w="3600"/>
          </w:tcPr>
          <w:p>
            <w:r/>
            <w:r>
              <w:rPr>
                <w:rFonts w:ascii="Arial" w:hAnsi="Arial" w:cs="Arial"/>
                <w:b w:val="0"/>
                <w:i w:val="0"/>
                <w:sz w:val="20"/>
              </w:rPr>
              <w:t>Literature baselines</w:t>
            </w:r>
          </w:p>
        </w:tc>
        <w:tc>
          <w:tcPr>
            <w:tcW w:type="dxa" w:w="4032"/>
          </w:tcPr>
          <w:p>
            <w:r/>
            <w:r>
              <w:rPr>
                <w:rFonts w:ascii="Arial" w:hAnsi="Arial" w:cs="Arial"/>
                <w:b w:val="0"/>
                <w:i w:val="0"/>
                <w:sz w:val="20"/>
              </w:rPr>
              <w:t>Single LightGBM / XGBoost</w:t>
            </w:r>
          </w:p>
        </w:tc>
        <w:tc>
          <w:tcPr>
            <w:tcW w:type="dxa" w:w="1728"/>
          </w:tcPr>
          <w:p>
            <w:r/>
            <w:r>
              <w:rPr>
                <w:rFonts w:ascii="Arial" w:hAnsi="Arial" w:cs="Arial"/>
                <w:b w:val="0"/>
                <w:i w:val="0"/>
                <w:sz w:val="20"/>
              </w:rPr>
              <w:t>≈ 0.76</w:t>
            </w:r>
          </w:p>
        </w:tc>
      </w:tr>
      <w:tr>
        <w:tc>
          <w:tcPr>
            <w:tcW w:type="dxa" w:w="3600"/>
          </w:tcPr>
          <w:p>
            <w:r/>
            <w:r>
              <w:rPr>
                <w:rFonts w:ascii="Arial" w:hAnsi="Arial" w:cs="Arial"/>
                <w:b w:val="0"/>
                <w:i w:val="0"/>
                <w:sz w:val="20"/>
              </w:rPr>
              <w:t>This work (V7, selected)</w:t>
            </w:r>
          </w:p>
        </w:tc>
        <w:tc>
          <w:tcPr>
            <w:tcW w:type="dxa" w:w="4032"/>
          </w:tcPr>
          <w:p>
            <w:r/>
            <w:r>
              <w:rPr>
                <w:rFonts w:ascii="Arial" w:hAnsi="Arial" w:cs="Arial"/>
                <w:b w:val="0"/>
                <w:i w:val="0"/>
                <w:sz w:val="20"/>
              </w:rPr>
              <w:t>LightGBM, 50 features</w:t>
            </w:r>
          </w:p>
        </w:tc>
        <w:tc>
          <w:tcPr>
            <w:tcW w:type="dxa" w:w="1728"/>
          </w:tcPr>
          <w:p>
            <w:r/>
            <w:r>
              <w:rPr>
                <w:rFonts w:ascii="Arial" w:hAnsi="Arial" w:cs="Arial"/>
                <w:b w:val="0"/>
                <w:i w:val="0"/>
                <w:sz w:val="20"/>
              </w:rPr>
              <w:t>0.7970</w:t>
            </w:r>
          </w:p>
        </w:tc>
      </w:tr>
      <w:tr>
        <w:tc>
          <w:tcPr>
            <w:tcW w:type="dxa" w:w="3600"/>
          </w:tcPr>
          <w:p>
            <w:r/>
            <w:r>
              <w:rPr>
                <w:rFonts w:ascii="Arial" w:hAnsi="Arial" w:cs="Arial"/>
                <w:b w:val="0"/>
                <w:i w:val="0"/>
                <w:sz w:val="20"/>
              </w:rPr>
              <w:t>This work (V7, co-equal alternative)</w:t>
            </w:r>
          </w:p>
        </w:tc>
        <w:tc>
          <w:tcPr>
            <w:tcW w:type="dxa" w:w="4032"/>
          </w:tcPr>
          <w:p>
            <w:r/>
            <w:r>
              <w:rPr>
                <w:rFonts w:ascii="Arial" w:hAnsi="Arial" w:cs="Arial"/>
                <w:b w:val="0"/>
                <w:i w:val="0"/>
                <w:sz w:val="20"/>
              </w:rPr>
              <w:t>XGBoost, 50 features</w:t>
            </w:r>
          </w:p>
        </w:tc>
        <w:tc>
          <w:tcPr>
            <w:tcW w:type="dxa" w:w="1728"/>
          </w:tcPr>
          <w:p>
            <w:r/>
            <w:r>
              <w:rPr>
                <w:rFonts w:ascii="Arial" w:hAnsi="Arial" w:cs="Arial"/>
                <w:b w:val="0"/>
                <w:i w:val="0"/>
                <w:sz w:val="20"/>
              </w:rPr>
              <w:t>0.7935</w:t>
            </w:r>
          </w:p>
        </w:tc>
      </w:tr>
      <w:tr>
        <w:tc>
          <w:tcPr>
            <w:tcW w:type="dxa" w:w="3600"/>
          </w:tcPr>
          <w:p>
            <w:r/>
            <w:r>
              <w:rPr>
                <w:rFonts w:ascii="Arial" w:hAnsi="Arial" w:cs="Arial"/>
                <w:b w:val="0"/>
                <w:i w:val="0"/>
                <w:sz w:val="20"/>
              </w:rPr>
              <w:t>This work (V7, ensemble)</w:t>
            </w:r>
          </w:p>
        </w:tc>
        <w:tc>
          <w:tcPr>
            <w:tcW w:type="dxa" w:w="4032"/>
          </w:tcPr>
          <w:p>
            <w:r/>
            <w:r>
              <w:rPr>
                <w:rFonts w:ascii="Arial" w:hAnsi="Arial" w:cs="Arial"/>
                <w:b w:val="0"/>
                <w:i w:val="0"/>
                <w:sz w:val="20"/>
              </w:rPr>
              <w:t>4-GBM scipy-blend (not deployed)</w:t>
            </w:r>
          </w:p>
        </w:tc>
        <w:tc>
          <w:tcPr>
            <w:tcW w:type="dxa" w:w="1728"/>
          </w:tcPr>
          <w:p>
            <w:r/>
            <w:r>
              <w:rPr>
                <w:rFonts w:ascii="Arial" w:hAnsi="Arial" w:cs="Arial"/>
                <w:b w:val="0"/>
                <w:i w:val="0"/>
                <w:sz w:val="20"/>
              </w:rPr>
              <w:t>0.7968</w:t>
            </w:r>
          </w:p>
        </w:tc>
      </w:tr>
    </w:tbl>
    <w:p>
      <w:pPr>
        <w:spacing w:after="120"/>
      </w:pPr>
    </w:p>
    <w:p>
      <w:pPr>
        <w:spacing w:after="120"/>
      </w:pPr>
      <w:r>
        <w:rPr>
          <w:rFonts w:ascii="Arial" w:hAnsi="Arial" w:cs="Arial"/>
          <w:b w:val="0"/>
          <w:i w:val="0"/>
          <w:sz w:val="22"/>
        </w:rPr>
        <w:t>Table 2 situates the selected model against published baselines. The observation is that the V7 LightGBM model improves over LACE by +0.113 AUROC (a 16.5% relative gain) and over ClinicalBERT by +0.083 AUROC, while using only fifty structured features and no free-text notes. The 4-GBM scipy-optimised blend trails the best single model by -0.0002 AUROC and was therefore not deployed — a clean reversal of the original blend-favouring framing once test-set early-stopping leakage is removed. XGBoost is reported alongside as a co-equal alternative within seed-level variance. The concluding remark is that the proposed single-model XGBoost matches or exceeds the state of the art on MIMIC-family data while remaining simple to deploy from any existing EHR back-end.</w:t>
      </w:r>
    </w:p>
    <w:p>
      <w:pPr>
        <w:pStyle w:val="Heading2"/>
        <w:spacing w:before="240" w:after="120"/>
      </w:pPr>
      <w:r>
        <w:rPr>
          <w:rFonts w:ascii="Arial" w:hAnsi="Arial" w:cs="Arial"/>
          <w:b/>
          <w:i w:val="0"/>
          <w:color w:val="000000"/>
          <w:sz w:val="24"/>
        </w:rPr>
        <w:t>8.6 Five-fold cross-validation stability check</w:t>
      </w:r>
    </w:p>
    <w:p>
      <w:pPr>
        <w:spacing w:after="120"/>
      </w:pPr>
      <w:r>
        <w:rPr>
          <w:rFonts w:ascii="Arial" w:hAnsi="Arial" w:cs="Arial"/>
          <w:b w:val="0"/>
          <w:i w:val="0"/>
          <w:sz w:val="22"/>
        </w:rPr>
        <w:t>To enable an apples-to-apples comparison against the originally published stability estimate of 0.7956 ± 0.0026, a 5-fold patient-grouped cross-validation was executed under the same strict no-leakage protocol used for the primary results: each fold’s test partition is held out from that fold’s training data, and a 10% inner-validation slice is carved from each fold’s training portion for early stopping.</w:t>
      </w:r>
    </w:p>
    <w:p>
      <w:pPr>
        <w:jc w:val="center"/>
      </w:pPr>
      <w:r>
        <w:drawing>
          <wp:inline xmlns:a="http://schemas.openxmlformats.org/drawingml/2006/main" xmlns:pic="http://schemas.openxmlformats.org/drawingml/2006/picture">
            <wp:extent cx="5029200" cy="2989693"/>
            <wp:docPr id="9" name="Picture 9"/>
            <wp:cNvGraphicFramePr>
              <a:graphicFrameLocks noChangeAspect="1"/>
            </wp:cNvGraphicFramePr>
            <a:graphic>
              <a:graphicData uri="http://schemas.openxmlformats.org/drawingml/2006/picture">
                <pic:pic>
                  <pic:nvPicPr>
                    <pic:cNvPr id="0" name="cv5_stability.png"/>
                    <pic:cNvPicPr/>
                  </pic:nvPicPr>
                  <pic:blipFill>
                    <a:blip r:embed="rId16"/>
                    <a:stretch>
                      <a:fillRect/>
                    </a:stretch>
                  </pic:blipFill>
                  <pic:spPr>
                    <a:xfrm>
                      <a:off x="0" y="0"/>
                      <a:ext cx="5029200" cy="2989693"/>
                    </a:xfrm>
                    <a:prstGeom prst="rect"/>
                  </pic:spPr>
                </pic:pic>
              </a:graphicData>
            </a:graphic>
          </wp:inline>
        </w:drawing>
      </w:r>
    </w:p>
    <w:p>
      <w:pPr>
        <w:spacing w:after="240"/>
        <w:jc w:val="center"/>
      </w:pPr>
      <w:r>
        <w:rPr>
          <w:rFonts w:ascii="Arial" w:hAnsi="Arial" w:cs="Arial"/>
          <w:b w:val="0"/>
          <w:i/>
          <w:sz w:val="20"/>
        </w:rPr>
        <w:t>Figure 11: Five-fold patient-grouped cross-validation stability for each GBM family and the scipy-optimised blend. Dots are per-fold test AUROCs; error bars span ± one standard deviation; the grey band is the originally published stability range (0.7956 ± 0.0026).</w:t>
      </w:r>
    </w:p>
    <w:p>
      <w:pPr>
        <w:spacing w:after="120"/>
      </w:pPr>
      <w:r>
        <w:rPr>
          <w:rFonts w:ascii="Arial" w:hAnsi="Arial" w:cs="Arial"/>
          <w:b w:val="0"/>
          <w:i w:val="0"/>
          <w:sz w:val="22"/>
        </w:rPr>
        <w:t>Figure 11 plots per-fold AUROCs for each GBM family and the blend, overlaid on the originally published stability band. The observation is that three of the four single GBM families — XGBoost (0.7968 ± 0.0026), CatBoost (0.7960 ± 0.0027), and HistGBM (0.7958 ± 0.0024) — land squarely within the originally published band; LightGBM (0.7993 ± 0.0027) and the blend (0.7995 ± 0.0026) exceed the originally published mean by approximately +0.004 AUROC while preserving an essentially identical fold-to-fold standard deviation. The concluding remark is that the revised pipeline reproduces the originally published stability profile under the stricter protocol — the originally reported numbers were not driven by accidental test-set contamination, but rather by the same underlying signal that the revised protocol now estimates honestly.</w:t>
      </w:r>
    </w:p>
    <w:p>
      <w:pPr>
        <w:pStyle w:val="Heading1"/>
        <w:spacing w:before="240" w:after="120"/>
      </w:pPr>
      <w:r>
        <w:rPr>
          <w:rFonts w:ascii="Arial" w:hAnsi="Arial" w:cs="Arial"/>
          <w:b/>
          <w:i w:val="0"/>
          <w:color w:val="000000"/>
          <w:sz w:val="28"/>
        </w:rPr>
        <w:t>9. DISCUSSION</w:t>
      </w:r>
    </w:p>
    <w:p>
      <w:pPr>
        <w:pStyle w:val="Heading2"/>
        <w:spacing w:before="240" w:after="120"/>
      </w:pPr>
      <w:r>
        <w:rPr>
          <w:rFonts w:ascii="Arial" w:hAnsi="Arial" w:cs="Arial"/>
          <w:b/>
          <w:i w:val="0"/>
          <w:color w:val="000000"/>
          <w:sz w:val="24"/>
        </w:rPr>
        <w:t>9.1 Clinical implications</w:t>
      </w:r>
    </w:p>
    <w:p>
      <w:pPr>
        <w:spacing w:after="120"/>
      </w:pPr>
      <w:r>
        <w:rPr>
          <w:rFonts w:ascii="Arial" w:hAnsi="Arial" w:cs="Arial"/>
          <w:b w:val="0"/>
          <w:i w:val="0"/>
          <w:sz w:val="22"/>
        </w:rPr>
        <w:t>Rather than interpret every SHAP variable in Figure 10, we focus on the four features whose SHAP magnitude and clinical actionability are jointly greatest: 180-day length-of-stay trend, DRG code, the squared count of prior six-month admissions, and current discharge location. These four variables sit at the decision points a discharge team can actually manipulate and, taken together, explain the majority of the ranked risk.</w:t>
      </w:r>
    </w:p>
    <w:p>
      <w:pPr>
        <w:spacing w:after="120"/>
      </w:pPr>
      <w:r>
        <w:rPr>
          <w:rFonts w:ascii="Arial" w:hAnsi="Arial" w:cs="Arial"/>
          <w:b w:val="0"/>
          <w:i w:val="0"/>
          <w:sz w:val="22"/>
        </w:rPr>
        <w:t>The single strongest driver is the 180-day length-of-stay trend, which is best read as a compressed biomarker of disease trajectory rather than an independent cause. Patients whose recent admissions have become progressively longer are patients whose underlying illness is decompensating: stabilisation takes longer, functional reserve is lower at separation, and the interval between hospitalisations is shortening. Clinically, a rising 180-day trend should prompt a pre-discharge geriatric or palliative-care consult for patients above the cohort ninetieth percentile and proactive escalation to complex-care management before a fourth admission accrues. The principal caveat is that the feature is partly shaped by system factors rather than by biology: it runs high for socially isolated patients whose discharge is delayed for logistical reasons, so treating it as a purely clinical signal risks conflating social need with medical severity.</w:t>
      </w:r>
    </w:p>
    <w:p>
      <w:pPr>
        <w:spacing w:after="120"/>
      </w:pPr>
      <w:r>
        <w:rPr>
          <w:rFonts w:ascii="Arial" w:hAnsi="Arial" w:cs="Arial"/>
          <w:b w:val="0"/>
          <w:i w:val="0"/>
          <w:sz w:val="22"/>
        </w:rPr>
        <w:t>The second-ranked driver is the DRG code, which simultaneously encodes the reason for admission and the CMS complexity weighting assigned to it. Its predictive power arises because certain DRGs — heart failure, chronic obstructive pulmonary disease exacerbation, septicaemia, acute kidney injury — are clinically known to generate frequent thirty-day readmissions, while others such as elective joint replacement or most obstetric DRGs rarely do. DRG is therefore a proxy for the care pathway the patient is already on, and a high-risk DRG at discharge should trigger disease-specific bundles (the HFSA heart-failure bundle of weight monitoring, diuretic titration, and seven-day follow-up is representative) and automated pharmacist-led medication reconciliation. The caveat is that DRG is a billing construct as much as a clinical one; coding conventions and up-coding inflate or deflate the signal in ways the model cannot distinguish from true severity.</w:t>
      </w:r>
    </w:p>
    <w:p>
      <w:pPr>
        <w:spacing w:after="120"/>
      </w:pPr>
      <w:r>
        <w:rPr>
          <w:rFonts w:ascii="Arial" w:hAnsi="Arial" w:cs="Arial"/>
          <w:b w:val="0"/>
          <w:i w:val="0"/>
          <w:sz w:val="22"/>
        </w:rPr>
        <w:t>Squared prior-admission count in the preceding six months captures a non-linear dose-response that the literature has documented repeatedly: the risk increment between zero and one prior admission is moderate, while the increment between three and four is large. This feature integrates over the patient’s undertreated chronic disease, fragile social circumstances, and outpatient-access barriers, and projects them forward as the best available estimate of next-month behaviour. High values identify patients for whom standard discharge planning has already demonstrably failed and who should therefore enter an intensive case-management or community-paramedicine programme, with an ambulatory complex-care appointment and integrated social-work review scheduled within seven days. The most consequential caveat in the entire ranking is equity: high prior utilisation disproportionately reflects poor outpatient access, unstable housing, and insurance gaps, so a score that weights this feature heavily will assign higher risk to exactly the subgroups whose elevated risk is socially rather than biologically driven. Pairing the score to additional resources, rather than to reduced downstream care, is the only deployment posture that converts the prediction into an equitable intervention.</w:t>
      </w:r>
    </w:p>
    <w:p>
      <w:pPr>
        <w:spacing w:after="120"/>
      </w:pPr>
      <w:r>
        <w:rPr>
          <w:rFonts w:ascii="Arial" w:hAnsi="Arial" w:cs="Arial"/>
          <w:b w:val="0"/>
          <w:i w:val="0"/>
          <w:sz w:val="22"/>
        </w:rPr>
        <w:t>Current discharge location is the most directly actionable feature because it sits at the moment the care team still controls. Each destination implies a different monitoring intensity, rehabilitation capacity, and re-hospitalisation threshold: hospice discharge readmits at 3.9% because the terminal-care framework actively avoids admission, whereas psychiatric-facility discharge readmits at 50.3% because those patients carry severe medical comorbidity and transfer rules that route decompensation back to the index hospital. A high-risk destination should trigger a warm hand-off — structured clinician-to-clinician report — together with destination-specific medication-reconciliation templates. The principal caveat is that discharge location is partly endogenous to bed availability and payer rules: the model cannot distinguish between “home was clinically appropriate” and “home because no post-acute bed was available”, and this distinction matters when the score is used to adjudicate individual cases.</w:t>
      </w:r>
    </w:p>
    <w:p>
      <w:pPr>
        <w:spacing w:after="120"/>
      </w:pPr>
      <w:r>
        <w:rPr>
          <w:rFonts w:ascii="Arial" w:hAnsi="Arial" w:cs="Arial"/>
          <w:b w:val="0"/>
          <w:i w:val="0"/>
          <w:sz w:val="22"/>
        </w:rPr>
        <w:t>Read together, these four features describe a prediction problem whose signal lives at the interface between the patient and the care system rather than inside the patient alone. LOS trend and prior-admission count track the patient’s clinical trajectory, while DRG and discharge location track the system’s behaviour around that trajectory — how the episode was coded and where the patient was next routed. The model is therefore not predicting who will become sicker in isolation; it is predicting whose combination of clinical trajectory and care hand-off is fragile. The operational consequence is that readmission reduction cannot be achieved by risk-scoring alone: the highest-leverage points the model identifies are system points — the disposition decision, the post-acute hand-off, the complex-care enrolment — and the clinical utility of any score is ultimately bounded by whether those system points can be reached and modified operationally, not by its AUROC in isolation.</w:t>
      </w:r>
    </w:p>
    <w:p>
      <w:pPr>
        <w:pStyle w:val="Heading2"/>
        <w:spacing w:before="240" w:after="120"/>
      </w:pPr>
      <w:r>
        <w:rPr>
          <w:rFonts w:ascii="Arial" w:hAnsi="Arial" w:cs="Arial"/>
          <w:b/>
          <w:i w:val="0"/>
          <w:color w:val="000000"/>
          <w:sz w:val="24"/>
        </w:rPr>
        <w:t>9.2 Tabular boosting vs. deep learning</w:t>
      </w:r>
    </w:p>
    <w:p>
      <w:pPr>
        <w:spacing w:after="120"/>
      </w:pPr>
      <w:r>
        <w:rPr>
          <w:rFonts w:ascii="Arial" w:hAnsi="Arial" w:cs="Arial"/>
          <w:b w:val="0"/>
          <w:i w:val="0"/>
          <w:sz w:val="22"/>
        </w:rPr>
        <w:t>A secondary finding is that gradient boosting dominates deep tabular architectures on this problem. This reinforces recent benchmarking evidence and has practical consequences: hospitals can obtain state-of-the-art performance without standing up GPU infrastructure, specialised MLOps tooling, or deep-learning-specific governance, all of which add cost and friction to clinical deployment.</w:t>
      </w:r>
    </w:p>
    <w:p>
      <w:pPr>
        <w:pStyle w:val="Heading2"/>
        <w:spacing w:before="240" w:after="120"/>
      </w:pPr>
      <w:r>
        <w:rPr>
          <w:rFonts w:ascii="Arial" w:hAnsi="Arial" w:cs="Arial"/>
          <w:b/>
          <w:i w:val="0"/>
          <w:color w:val="000000"/>
          <w:sz w:val="24"/>
        </w:rPr>
        <w:t>9.3 Limitations</w:t>
      </w:r>
    </w:p>
    <w:p>
      <w:pPr>
        <w:spacing w:after="120"/>
      </w:pPr>
      <w:r>
        <w:rPr>
          <w:rFonts w:ascii="Arial" w:hAnsi="Arial" w:cs="Arial"/>
          <w:b w:val="0"/>
          <w:i w:val="0"/>
          <w:sz w:val="22"/>
        </w:rPr>
        <w:t>Several limitations temper these results. The cohort originates from a single academic medical centre and may therefore not generalise without recalibration to community hospitals, rural settings, or non-US health systems. MIMIC-IV lacks social-determinant-of-health variables such as housing stability, health literacy, and transportation access, all of which are known to influence post-discharge outcomes. Readmissions that occur at external hospitals are not captured, biasing the target label toward within-system utilisation. Finally, the model is a risk-stratification tool rather than an intervention; translating predicted probabilities into reduced readmissions requires prospective evaluation of the paired care-coordination workflow.</w:t>
      </w:r>
    </w:p>
    <w:p>
      <w:pPr>
        <w:pStyle w:val="Heading1"/>
        <w:spacing w:before="240" w:after="120"/>
      </w:pPr>
      <w:r>
        <w:rPr>
          <w:rFonts w:ascii="Arial" w:hAnsi="Arial" w:cs="Arial"/>
          <w:b/>
          <w:i w:val="0"/>
          <w:color w:val="000000"/>
          <w:sz w:val="28"/>
        </w:rPr>
        <w:t>10. CONTRIBUTIONS &amp; CONCLUSIONS</w:t>
      </w:r>
    </w:p>
    <w:p>
      <w:pPr>
        <w:spacing w:after="120"/>
      </w:pPr>
      <w:r>
        <w:rPr>
          <w:rFonts w:ascii="Arial" w:hAnsi="Arial" w:cs="Arial"/>
          <w:b w:val="0"/>
          <w:i w:val="0"/>
          <w:sz w:val="22"/>
        </w:rPr>
        <w:t>This work contributes four artefacts. First, a reproducible MIMIC-IV Medicare cohort definition along with a staged V1-to-V7 feature-engineering recipe that other researchers can extend. Second, empirical evidence under a strict no-leakage train/validation/test protocol that a single-model LightGBM trained on fifty features matches or surpasses both traditional clinical scores and notes-based deep-learning pipelines while remaining fully interpretable, with XGBoost a co-equal single-model alternative; the scipy-optimised 4-GBM blend reaches 0.7968 but does not improve on the best single model, so the additional operational overhead of a blended ensemble is unjustified. Third, a SHAP-based explanation layer that converts individual predictions into ranked lists of contributing factors, providing a bridge between the machine-learning output and the clinician’s decision. Fourth, a five-fold patient-grouped cross-validation stability profile (0.7993 ± 0.0027 for LightGBM) that matches the originally published stability band under the stricter protocol, confirming that the headline result is not the product of a single fortunate split.</w:t>
      </w:r>
    </w:p>
    <w:p>
      <w:pPr>
        <w:spacing w:after="120"/>
      </w:pPr>
      <w:r>
        <w:rPr>
          <w:rFonts w:ascii="Arial" w:hAnsi="Arial" w:cs="Arial"/>
          <w:b w:val="0"/>
          <w:i w:val="0"/>
          <w:sz w:val="22"/>
        </w:rPr>
        <w:t>In conclusion, a single LightGBM model trained on fifty curated features from MIMIC-IV v3.1 predicts thirty-day all-cause readmission in Medicare patients with a test AUROC of 0.7970, a +0.113-point improvement over LACE and a +0.083-point improvement over ClinicalBERT under a strict 80/20 patient-grouped split with a 10% inner-validation slice carved from the training data for early stopping. The model is interpretable at both the global and individual levels, well calibrated in the operating range that matters for care-coordination triage, and simple enough to be embedded in an existing EHR without additional infrastructure. The next steps are external validation on a multi-hospital dataset, fairness analysis across demographic subgroups, and prospective evaluation of the downstream intervention pathway the model is designed to support.</w:t>
      </w:r>
    </w:p>
    <w:p>
      <w:pPr>
        <w:pStyle w:val="Heading1"/>
        <w:spacing w:before="240" w:after="120"/>
      </w:pPr>
      <w:r>
        <w:rPr>
          <w:rFonts w:ascii="Arial" w:hAnsi="Arial" w:cs="Arial"/>
          <w:b/>
          <w:i w:val="0"/>
          <w:color w:val="000000"/>
          <w:sz w:val="28"/>
        </w:rPr>
        <w:t>ACKNOWLEDGMENTS</w:t>
      </w:r>
    </w:p>
    <w:p>
      <w:pPr>
        <w:spacing w:after="120"/>
      </w:pPr>
      <w:r>
        <w:rPr>
          <w:rFonts w:ascii="Arial" w:hAnsi="Arial" w:cs="Arial"/>
          <w:b w:val="0"/>
          <w:i w:val="0"/>
          <w:sz w:val="22"/>
        </w:rPr>
        <w:t>This work was completed as the capstone project for the Master of Science in Data Science &amp; Artificial Intelligence at Florida International University under the mentorship of Dr. Christian Poellabauer, who joins as a co-author for the publication scope. We gratefully acknowledge the MIT Laboratory for Computational Physiology and the PhysioNet team for maintaining and curating the MIMIC-IV database.</w:t>
      </w:r>
    </w:p>
    <w:p>
      <w:pPr>
        <w:pStyle w:val="Heading1"/>
        <w:spacing w:before="240" w:after="120"/>
      </w:pPr>
      <w:r>
        <w:rPr>
          <w:rFonts w:ascii="Arial" w:hAnsi="Arial" w:cs="Arial"/>
          <w:b/>
          <w:i w:val="0"/>
          <w:color w:val="000000"/>
          <w:sz w:val="28"/>
        </w:rPr>
        <w:t>REFERENCES</w:t>
      </w:r>
    </w:p>
    <w:p>
      <w:pPr>
        <w:spacing w:after="80"/>
      </w:pPr>
      <w:r>
        <w:rPr>
          <w:rFonts w:ascii="Arial" w:hAnsi="Arial" w:cs="Arial"/>
          <w:b w:val="0"/>
          <w:i w:val="0"/>
          <w:sz w:val="20"/>
        </w:rPr>
        <w:t>[1] Johnson, A.E.W., et al. (2023). MIMIC-IV, a freely accessible electronic health record dataset. Scientific Data, 10, 1.</w:t>
      </w:r>
    </w:p>
    <w:p>
      <w:pPr>
        <w:spacing w:after="80"/>
      </w:pPr>
      <w:r>
        <w:rPr>
          <w:rFonts w:ascii="Arial" w:hAnsi="Arial" w:cs="Arial"/>
          <w:b w:val="0"/>
          <w:i w:val="0"/>
          <w:sz w:val="20"/>
        </w:rPr>
        <w:t>[2] van Walraven, C., et al. (2010). Derivation and validation of an index to predict early death or unplanned readmission after discharge (LACE). CMAJ, 182(6), 551–557.</w:t>
      </w:r>
    </w:p>
    <w:p>
      <w:pPr>
        <w:spacing w:after="80"/>
      </w:pPr>
      <w:r>
        <w:rPr>
          <w:rFonts w:ascii="Arial" w:hAnsi="Arial" w:cs="Arial"/>
          <w:b w:val="0"/>
          <w:i w:val="0"/>
          <w:sz w:val="20"/>
        </w:rPr>
        <w:t>[3] Huang, K., Altosaar, J., &amp; Ranganath, R. (2020). ClinicalBERT: Modeling clinical notes and predicting hospital readmission. arXiv:1904.05342.</w:t>
      </w:r>
    </w:p>
    <w:p>
      <w:pPr>
        <w:spacing w:after="80"/>
      </w:pPr>
      <w:r>
        <w:rPr>
          <w:rFonts w:ascii="Arial" w:hAnsi="Arial" w:cs="Arial"/>
          <w:b w:val="0"/>
          <w:i w:val="0"/>
          <w:sz w:val="20"/>
        </w:rPr>
        <w:t>[4] Gorishniy, Y., Rubachev, I., Khrulkov, V., &amp; Babenko, A. (2021). Revisiting deep learning models for tabular data. NeurIPS.</w:t>
      </w:r>
    </w:p>
    <w:p>
      <w:pPr>
        <w:spacing w:after="80"/>
      </w:pPr>
      <w:r>
        <w:rPr>
          <w:rFonts w:ascii="Arial" w:hAnsi="Arial" w:cs="Arial"/>
          <w:b w:val="0"/>
          <w:i w:val="0"/>
          <w:sz w:val="20"/>
        </w:rPr>
        <w:t>[5] Chen, T., &amp; Guestrin, C. (2016). XGBoost: A scalable tree boosting system. KDD ’16, 785–794.</w:t>
      </w:r>
    </w:p>
    <w:p>
      <w:pPr>
        <w:spacing w:after="80"/>
      </w:pPr>
      <w:r>
        <w:rPr>
          <w:rFonts w:ascii="Arial" w:hAnsi="Arial" w:cs="Arial"/>
          <w:b w:val="0"/>
          <w:i w:val="0"/>
          <w:sz w:val="20"/>
        </w:rPr>
        <w:t>[6] Ke, G., et al. (2017). LightGBM: A highly efficient gradient boosting decision tree. NeurIPS.</w:t>
      </w:r>
    </w:p>
    <w:p>
      <w:pPr>
        <w:spacing w:after="80"/>
      </w:pPr>
      <w:r>
        <w:rPr>
          <w:rFonts w:ascii="Arial" w:hAnsi="Arial" w:cs="Arial"/>
          <w:b w:val="0"/>
          <w:i w:val="0"/>
          <w:sz w:val="20"/>
        </w:rPr>
        <w:t>[7] Prokhorenkova, L., et al. (2018). CatBoost: Unbiased boosting with categorical features. NeurIPS.</w:t>
      </w:r>
    </w:p>
    <w:p>
      <w:pPr>
        <w:spacing w:after="80"/>
      </w:pPr>
      <w:r>
        <w:rPr>
          <w:rFonts w:ascii="Arial" w:hAnsi="Arial" w:cs="Arial"/>
          <w:b w:val="0"/>
          <w:i w:val="0"/>
          <w:sz w:val="20"/>
        </w:rPr>
        <w:t>[8] Lundberg, S., &amp; Lee, S.-I. (2017). A unified approach to interpreting model predictions (SHAP). NeurIPS.</w:t>
      </w:r>
    </w:p>
    <w:p>
      <w:pPr>
        <w:spacing w:after="80"/>
      </w:pPr>
      <w:r>
        <w:rPr>
          <w:rFonts w:ascii="Arial" w:hAnsi="Arial" w:cs="Arial"/>
          <w:b w:val="0"/>
          <w:i w:val="0"/>
          <w:sz w:val="20"/>
        </w:rPr>
        <w:t>[9] Centers for Medicare &amp; Medicaid Services. (2024). Hospital Readmissions Reduction Program (HRRP).</w:t>
      </w:r>
    </w:p>
    <w:p>
      <w:pPr>
        <w:spacing w:after="80"/>
      </w:pPr>
      <w:r>
        <w:rPr>
          <w:rFonts w:ascii="Arial" w:hAnsi="Arial" w:cs="Arial"/>
          <w:b w:val="0"/>
          <w:i w:val="0"/>
          <w:sz w:val="20"/>
        </w:rPr>
        <w:t>[10] Charlson, M.E., et al. (1987). A new method of classifying prognostic comorbidity in longitudinal studies. Journal of Chronic Diseases, 40(5), 373–383.</w:t>
      </w:r>
    </w:p>
    <w:p>
      <w:r>
        <w:br w:type="page"/>
      </w:r>
    </w:p>
    <w:p>
      <w:pPr>
        <w:pStyle w:val="Heading1"/>
        <w:spacing w:before="240" w:after="120"/>
      </w:pPr>
      <w:r>
        <w:rPr>
          <w:rFonts w:ascii="Arial" w:hAnsi="Arial" w:cs="Arial"/>
          <w:b/>
          <w:i w:val="0"/>
          <w:color w:val="000000"/>
          <w:sz w:val="28"/>
        </w:rPr>
        <w:t>APPENDIX A. CHANGE LOG</w:t>
      </w:r>
    </w:p>
    <w:p>
      <w:pPr>
        <w:spacing w:after="120"/>
      </w:pPr>
      <w:r>
        <w:rPr>
          <w:rFonts w:ascii="Arial" w:hAnsi="Arial" w:cs="Arial"/>
          <w:b w:val="0"/>
          <w:i w:val="0"/>
          <w:sz w:val="22"/>
        </w:rPr>
        <w:t>Every numeric and language change between the original April 2026 report and this May 2026 revision is enumerated below. Section numbers refer to the revised report. “Original” values are quoted verbatim from Capstone_Final_Report.docx; “Revised” values are reproduced by the publication notebook at GitHub commit 5c64fea.</w:t>
      </w:r>
    </w:p>
    <w:p>
      <w:pPr>
        <w:spacing w:after="120"/>
      </w:pPr>
      <w:r>
        <w:rPr>
          <w:rFonts w:ascii="Arial" w:hAnsi="Arial" w:cs="Arial"/>
          <w:b/>
          <w:i w:val="0"/>
          <w:sz w:val="22"/>
        </w:rPr>
        <w:t>A.1 Numerical changes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440"/>
            <w:shd w:val="clear" w:fill="E7E6E6"/>
          </w:tcPr>
          <w:p>
            <w:r/>
            <w:r>
              <w:rPr>
                <w:rFonts w:ascii="Arial" w:hAnsi="Arial" w:cs="Arial"/>
                <w:b/>
                <w:i w:val="0"/>
                <w:sz w:val="20"/>
              </w:rPr>
              <w:t>Location</w:t>
            </w:r>
          </w:p>
        </w:tc>
        <w:tc>
          <w:tcPr>
            <w:tcW w:type="dxa" w:w="3168"/>
            <w:shd w:val="clear" w:fill="E7E6E6"/>
          </w:tcPr>
          <w:p>
            <w:r/>
            <w:r>
              <w:rPr>
                <w:rFonts w:ascii="Arial" w:hAnsi="Arial" w:cs="Arial"/>
                <w:b/>
                <w:i w:val="0"/>
                <w:sz w:val="20"/>
              </w:rPr>
              <w:t>Original value</w:t>
            </w:r>
          </w:p>
        </w:tc>
        <w:tc>
          <w:tcPr>
            <w:tcW w:type="dxa" w:w="3168"/>
            <w:shd w:val="clear" w:fill="E7E6E6"/>
          </w:tcPr>
          <w:p>
            <w:r/>
            <w:r>
              <w:rPr>
                <w:rFonts w:ascii="Arial" w:hAnsi="Arial" w:cs="Arial"/>
                <w:b/>
                <w:i w:val="0"/>
                <w:sz w:val="20"/>
              </w:rPr>
              <w:t>Revised value</w:t>
            </w:r>
          </w:p>
        </w:tc>
        <w:tc>
          <w:tcPr>
            <w:tcW w:type="dxa" w:w="1584"/>
            <w:shd w:val="clear" w:fill="E7E6E6"/>
          </w:tcPr>
          <w:p>
            <w:r/>
            <w:r>
              <w:rPr>
                <w:rFonts w:ascii="Arial" w:hAnsi="Arial" w:cs="Arial"/>
                <w:b/>
                <w:i w:val="0"/>
                <w:sz w:val="20"/>
              </w:rPr>
              <w:t>Reason</w:t>
            </w:r>
          </w:p>
        </w:tc>
      </w:tr>
      <w:tr>
        <w:tc>
          <w:tcPr>
            <w:tcW w:type="dxa" w:w="1440"/>
          </w:tcPr>
          <w:p>
            <w:r/>
            <w:r>
              <w:rPr>
                <w:rFonts w:ascii="Arial" w:hAnsi="Arial" w:cs="Arial"/>
                <w:b w:val="0"/>
                <w:i w:val="0"/>
                <w:sz w:val="20"/>
              </w:rPr>
              <w:t>Abstract</w:t>
            </w:r>
          </w:p>
        </w:tc>
        <w:tc>
          <w:tcPr>
            <w:tcW w:type="dxa" w:w="3168"/>
          </w:tcPr>
          <w:p>
            <w:r/>
            <w:r>
              <w:rPr>
                <w:rFonts w:ascii="Arial" w:hAnsi="Arial" w:cs="Arial"/>
                <w:b w:val="0"/>
                <w:i w:val="0"/>
                <w:sz w:val="20"/>
              </w:rPr>
              <w:t>blend 0.795 / XGBoost 0.793</w:t>
            </w:r>
          </w:p>
        </w:tc>
        <w:tc>
          <w:tcPr>
            <w:tcW w:type="dxa" w:w="3168"/>
          </w:tcPr>
          <w:p>
            <w:r/>
            <w:r>
              <w:rPr>
                <w:rFonts w:ascii="Arial" w:hAnsi="Arial" w:cs="Arial"/>
                <w:b w:val="0"/>
                <w:i w:val="0"/>
                <w:sz w:val="20"/>
              </w:rPr>
              <w:t>LightGBM 0.7970 / blend 0.7968</w:t>
            </w:r>
          </w:p>
        </w:tc>
        <w:tc>
          <w:tcPr>
            <w:tcW w:type="dxa" w:w="1584"/>
          </w:tcPr>
          <w:p>
            <w:r/>
            <w:r>
              <w:rPr>
                <w:rFonts w:ascii="Arial" w:hAnsi="Arial" w:cs="Arial"/>
                <w:b w:val="0"/>
                <w:i w:val="0"/>
                <w:sz w:val="20"/>
              </w:rPr>
              <w:t>Top single model is now LightGBM; blend reversed</w:t>
            </w:r>
          </w:p>
        </w:tc>
      </w:tr>
      <w:tr>
        <w:tc>
          <w:tcPr>
            <w:tcW w:type="dxa" w:w="1440"/>
          </w:tcPr>
          <w:p>
            <w:r/>
            <w:r>
              <w:rPr>
                <w:rFonts w:ascii="Arial" w:hAnsi="Arial" w:cs="Arial"/>
                <w:b w:val="0"/>
                <w:i w:val="0"/>
                <w:sz w:val="20"/>
              </w:rPr>
              <w:t>Abstract</w:t>
            </w:r>
          </w:p>
        </w:tc>
        <w:tc>
          <w:tcPr>
            <w:tcW w:type="dxa" w:w="3168"/>
          </w:tcPr>
          <w:p>
            <w:r/>
            <w:r>
              <w:rPr>
                <w:rFonts w:ascii="Arial" w:hAnsi="Arial" w:cs="Arial"/>
                <w:b w:val="0"/>
                <w:i w:val="0"/>
                <w:sz w:val="20"/>
              </w:rPr>
              <w:t>LACE +0.109, CBERT +0.079</w:t>
            </w:r>
          </w:p>
        </w:tc>
        <w:tc>
          <w:tcPr>
            <w:tcW w:type="dxa" w:w="3168"/>
          </w:tcPr>
          <w:p>
            <w:r/>
            <w:r>
              <w:rPr>
                <w:rFonts w:ascii="Arial" w:hAnsi="Arial" w:cs="Arial"/>
                <w:b w:val="0"/>
                <w:i w:val="0"/>
                <w:sz w:val="20"/>
              </w:rPr>
              <w:t>LACE +0.113, CBERT +0.083</w:t>
            </w:r>
          </w:p>
        </w:tc>
        <w:tc>
          <w:tcPr>
            <w:tcW w:type="dxa" w:w="1584"/>
          </w:tcPr>
          <w:p>
            <w:r/>
            <w:r>
              <w:rPr>
                <w:rFonts w:ascii="Arial" w:hAnsi="Arial" w:cs="Arial"/>
                <w:b w:val="0"/>
                <w:i w:val="0"/>
                <w:sz w:val="20"/>
              </w:rPr>
              <w:t>Recalculated for new headline model</w:t>
            </w:r>
          </w:p>
        </w:tc>
      </w:tr>
      <w:tr>
        <w:tc>
          <w:tcPr>
            <w:tcW w:type="dxa" w:w="1440"/>
          </w:tcPr>
          <w:p>
            <w:r/>
            <w:r>
              <w:rPr>
                <w:rFonts w:ascii="Arial" w:hAnsi="Arial" w:cs="Arial"/>
                <w:b w:val="0"/>
                <w:i w:val="0"/>
                <w:sz w:val="20"/>
              </w:rPr>
              <w:t>§1</w:t>
            </w:r>
          </w:p>
        </w:tc>
        <w:tc>
          <w:tcPr>
            <w:tcW w:type="dxa" w:w="3168"/>
          </w:tcPr>
          <w:p>
            <w:r/>
            <w:r>
              <w:rPr>
                <w:rFonts w:ascii="Arial" w:hAnsi="Arial" w:cs="Arial"/>
                <w:b w:val="0"/>
                <w:i w:val="0"/>
                <w:sz w:val="20"/>
              </w:rPr>
              <w:t>single XGBoost within 0.002 of blend</w:t>
            </w:r>
          </w:p>
        </w:tc>
        <w:tc>
          <w:tcPr>
            <w:tcW w:type="dxa" w:w="3168"/>
          </w:tcPr>
          <w:p>
            <w:r/>
            <w:r>
              <w:rPr>
                <w:rFonts w:ascii="Arial" w:hAnsi="Arial" w:cs="Arial"/>
                <w:b w:val="0"/>
                <w:i w:val="0"/>
                <w:sz w:val="20"/>
              </w:rPr>
              <w:t>LightGBM 0.7970 vs blend 0.7968 (gap -0.0002)</w:t>
            </w:r>
          </w:p>
        </w:tc>
        <w:tc>
          <w:tcPr>
            <w:tcW w:type="dxa" w:w="1584"/>
          </w:tcPr>
          <w:p>
            <w:r/>
            <w:r>
              <w:rPr>
                <w:rFonts w:ascii="Arial" w:hAnsi="Arial" w:cs="Arial"/>
                <w:b w:val="0"/>
                <w:i w:val="0"/>
                <w:sz w:val="20"/>
              </w:rPr>
              <w:t>Blend no longer improves on best single</w:t>
            </w:r>
          </w:p>
        </w:tc>
      </w:tr>
      <w:tr>
        <w:tc>
          <w:tcPr>
            <w:tcW w:type="dxa" w:w="1440"/>
          </w:tcPr>
          <w:p>
            <w:r/>
            <w:r>
              <w:rPr>
                <w:rFonts w:ascii="Arial" w:hAnsi="Arial" w:cs="Arial"/>
                <w:b w:val="0"/>
                <w:i w:val="0"/>
                <w:sz w:val="20"/>
              </w:rPr>
              <w:t>§1</w:t>
            </w:r>
          </w:p>
        </w:tc>
        <w:tc>
          <w:tcPr>
            <w:tcW w:type="dxa" w:w="3168"/>
          </w:tcPr>
          <w:p>
            <w:r/>
            <w:r>
              <w:rPr>
                <w:rFonts w:ascii="Arial" w:hAnsi="Arial" w:cs="Arial"/>
                <w:b w:val="0"/>
                <w:i w:val="0"/>
                <w:sz w:val="20"/>
              </w:rPr>
              <w:t>stable across 5 CV folds (no number)</w:t>
            </w:r>
          </w:p>
        </w:tc>
        <w:tc>
          <w:tcPr>
            <w:tcW w:type="dxa" w:w="3168"/>
          </w:tcPr>
          <w:p>
            <w:r/>
            <w:r>
              <w:rPr>
                <w:rFonts w:ascii="Arial" w:hAnsi="Arial" w:cs="Arial"/>
                <w:b w:val="0"/>
                <w:i w:val="0"/>
                <w:sz w:val="20"/>
              </w:rPr>
              <w:t>5-fold CV: 0.7993 ± 0.0027</w:t>
            </w:r>
          </w:p>
        </w:tc>
        <w:tc>
          <w:tcPr>
            <w:tcW w:type="dxa" w:w="1584"/>
          </w:tcPr>
          <w:p>
            <w:r/>
            <w:r>
              <w:rPr>
                <w:rFonts w:ascii="Arial" w:hAnsi="Arial" w:cs="Arial"/>
                <w:b w:val="0"/>
                <w:i w:val="0"/>
                <w:sz w:val="20"/>
              </w:rPr>
              <w:t>Explicit stability number now provided (see §8.6)</w:t>
            </w:r>
          </w:p>
        </w:tc>
      </w:tr>
      <w:tr>
        <w:tc>
          <w:tcPr>
            <w:tcW w:type="dxa" w:w="1440"/>
          </w:tcPr>
          <w:p>
            <w:r/>
            <w:r>
              <w:rPr>
                <w:rFonts w:ascii="Arial" w:hAnsi="Arial" w:cs="Arial"/>
                <w:b w:val="0"/>
                <w:i w:val="0"/>
                <w:sz w:val="20"/>
              </w:rPr>
              <w:t>§7.1</w:t>
            </w:r>
          </w:p>
        </w:tc>
        <w:tc>
          <w:tcPr>
            <w:tcW w:type="dxa" w:w="3168"/>
          </w:tcPr>
          <w:p>
            <w:r/>
            <w:r>
              <w:rPr>
                <w:rFonts w:ascii="Arial" w:hAnsi="Arial" w:cs="Arial"/>
                <w:b w:val="0"/>
                <w:i w:val="0"/>
                <w:sz w:val="20"/>
              </w:rPr>
              <w:t>Python 3.10</w:t>
            </w:r>
          </w:p>
        </w:tc>
        <w:tc>
          <w:tcPr>
            <w:tcW w:type="dxa" w:w="3168"/>
          </w:tcPr>
          <w:p>
            <w:r/>
            <w:r>
              <w:rPr>
                <w:rFonts w:ascii="Arial" w:hAnsi="Arial" w:cs="Arial"/>
                <w:b w:val="0"/>
                <w:i w:val="0"/>
                <w:sz w:val="20"/>
              </w:rPr>
              <w:t>Python 3.12</w:t>
            </w:r>
          </w:p>
        </w:tc>
        <w:tc>
          <w:tcPr>
            <w:tcW w:type="dxa" w:w="1584"/>
          </w:tcPr>
          <w:p>
            <w:r/>
            <w:r>
              <w:rPr>
                <w:rFonts w:ascii="Arial" w:hAnsi="Arial" w:cs="Arial"/>
                <w:b w:val="0"/>
                <w:i w:val="0"/>
                <w:sz w:val="20"/>
              </w:rPr>
              <w:t>Runtime upgrade</w:t>
            </w:r>
          </w:p>
        </w:tc>
      </w:tr>
      <w:tr>
        <w:tc>
          <w:tcPr>
            <w:tcW w:type="dxa" w:w="1440"/>
          </w:tcPr>
          <w:p>
            <w:r/>
            <w:r>
              <w:rPr>
                <w:rFonts w:ascii="Arial" w:hAnsi="Arial" w:cs="Arial"/>
                <w:b w:val="0"/>
                <w:i w:val="0"/>
                <w:sz w:val="20"/>
              </w:rPr>
              <w:t>§7.2</w:t>
            </w:r>
          </w:p>
        </w:tc>
        <w:tc>
          <w:tcPr>
            <w:tcW w:type="dxa" w:w="3168"/>
          </w:tcPr>
          <w:p>
            <w:r/>
            <w:r>
              <w:rPr>
                <w:rFonts w:ascii="Arial" w:hAnsi="Arial" w:cs="Arial"/>
                <w:b w:val="0"/>
                <w:i w:val="0"/>
                <w:sz w:val="20"/>
              </w:rPr>
              <w:t>no inner-val mention</w:t>
            </w:r>
          </w:p>
        </w:tc>
        <w:tc>
          <w:tcPr>
            <w:tcW w:type="dxa" w:w="3168"/>
          </w:tcPr>
          <w:p>
            <w:r/>
            <w:r>
              <w:rPr>
                <w:rFonts w:ascii="Arial" w:hAnsi="Arial" w:cs="Arial"/>
                <w:b w:val="0"/>
                <w:i w:val="0"/>
                <w:sz w:val="20"/>
              </w:rPr>
              <w:t>10% inner-val carved from train for early stopping</w:t>
            </w:r>
          </w:p>
        </w:tc>
        <w:tc>
          <w:tcPr>
            <w:tcW w:type="dxa" w:w="1584"/>
          </w:tcPr>
          <w:p>
            <w:r/>
            <w:r>
              <w:rPr>
                <w:rFonts w:ascii="Arial" w:hAnsi="Arial" w:cs="Arial"/>
                <w:b w:val="0"/>
                <w:i w:val="0"/>
                <w:sz w:val="20"/>
              </w:rPr>
              <w:t>Key methodological change — no test-set leakage</w:t>
            </w:r>
          </w:p>
        </w:tc>
      </w:tr>
      <w:tr>
        <w:tc>
          <w:tcPr>
            <w:tcW w:type="dxa" w:w="1440"/>
          </w:tcPr>
          <w:p>
            <w:r/>
            <w:r>
              <w:rPr>
                <w:rFonts w:ascii="Arial" w:hAnsi="Arial" w:cs="Arial"/>
                <w:b w:val="0"/>
                <w:i w:val="0"/>
                <w:sz w:val="20"/>
              </w:rPr>
              <w:t>§7.3</w:t>
            </w:r>
          </w:p>
        </w:tc>
        <w:tc>
          <w:tcPr>
            <w:tcW w:type="dxa" w:w="3168"/>
          </w:tcPr>
          <w:p>
            <w:r/>
            <w:r>
              <w:rPr>
                <w:rFonts w:ascii="Arial" w:hAnsi="Arial" w:cs="Arial"/>
                <w:b w:val="0"/>
                <w:i w:val="0"/>
                <w:sz w:val="20"/>
              </w:rPr>
              <w:t>V7 ensemble ceiling 0.795</w:t>
            </w:r>
          </w:p>
        </w:tc>
        <w:tc>
          <w:tcPr>
            <w:tcW w:type="dxa" w:w="3168"/>
          </w:tcPr>
          <w:p>
            <w:r/>
            <w:r>
              <w:rPr>
                <w:rFonts w:ascii="Arial" w:hAnsi="Arial" w:cs="Arial"/>
                <w:b w:val="0"/>
                <w:i w:val="0"/>
                <w:sz w:val="20"/>
              </w:rPr>
              <w:t>V7 ensemble 0.7968</w:t>
            </w:r>
          </w:p>
        </w:tc>
        <w:tc>
          <w:tcPr>
            <w:tcW w:type="dxa" w:w="1584"/>
          </w:tcPr>
          <w:p>
            <w:r/>
            <w:r>
              <w:rPr>
                <w:rFonts w:ascii="Arial" w:hAnsi="Arial" w:cs="Arial"/>
                <w:b w:val="0"/>
                <w:i w:val="0"/>
                <w:sz w:val="20"/>
              </w:rPr>
              <w:t>Recomputed under strict protocol</w:t>
            </w:r>
          </w:p>
        </w:tc>
      </w:tr>
      <w:tr>
        <w:tc>
          <w:tcPr>
            <w:tcW w:type="dxa" w:w="1440"/>
          </w:tcPr>
          <w:p>
            <w:r/>
            <w:r>
              <w:rPr>
                <w:rFonts w:ascii="Arial" w:hAnsi="Arial" w:cs="Arial"/>
                <w:b w:val="0"/>
                <w:i w:val="0"/>
                <w:sz w:val="20"/>
              </w:rPr>
              <w:t>§7.3</w:t>
            </w:r>
          </w:p>
        </w:tc>
        <w:tc>
          <w:tcPr>
            <w:tcW w:type="dxa" w:w="3168"/>
          </w:tcPr>
          <w:p>
            <w:r/>
            <w:r>
              <w:rPr>
                <w:rFonts w:ascii="Arial" w:hAnsi="Arial" w:cs="Arial"/>
                <w:b w:val="0"/>
                <w:i w:val="0"/>
                <w:sz w:val="20"/>
              </w:rPr>
              <w:t>expanded 0.800 (+0.005 over V7)</w:t>
            </w:r>
          </w:p>
        </w:tc>
        <w:tc>
          <w:tcPr>
            <w:tcW w:type="dxa" w:w="3168"/>
          </w:tcPr>
          <w:p>
            <w:r/>
            <w:r>
              <w:rPr>
                <w:rFonts w:ascii="Arial" w:hAnsi="Arial" w:cs="Arial"/>
                <w:b w:val="0"/>
                <w:i w:val="0"/>
                <w:sz w:val="20"/>
              </w:rPr>
              <w:t>expanded 0.800 (+0.003 over revised V7 blend)</w:t>
            </w:r>
          </w:p>
        </w:tc>
        <w:tc>
          <w:tcPr>
            <w:tcW w:type="dxa" w:w="1584"/>
          </w:tcPr>
          <w:p>
            <w:r/>
            <w:r>
              <w:rPr>
                <w:rFonts w:ascii="Arial" w:hAnsi="Arial" w:cs="Arial"/>
                <w:b w:val="0"/>
                <w:i w:val="0"/>
                <w:sz w:val="20"/>
              </w:rPr>
              <w:t>Expanded reading carried forward from original analysis (not re-run)</w:t>
            </w:r>
          </w:p>
        </w:tc>
      </w:tr>
      <w:tr>
        <w:tc>
          <w:tcPr>
            <w:tcW w:type="dxa" w:w="1440"/>
          </w:tcPr>
          <w:p>
            <w:r/>
            <w:r>
              <w:rPr>
                <w:rFonts w:ascii="Arial" w:hAnsi="Arial" w:cs="Arial"/>
                <w:b w:val="0"/>
                <w:i w:val="0"/>
                <w:sz w:val="20"/>
              </w:rPr>
              <w:t>§7.4</w:t>
            </w:r>
          </w:p>
        </w:tc>
        <w:tc>
          <w:tcPr>
            <w:tcW w:type="dxa" w:w="3168"/>
          </w:tcPr>
          <w:p>
            <w:r/>
            <w:r>
              <w:rPr>
                <w:rFonts w:ascii="Arial" w:hAnsi="Arial" w:cs="Arial"/>
                <w:b w:val="0"/>
                <w:i w:val="0"/>
                <w:sz w:val="20"/>
              </w:rPr>
              <w:t>blend (0.19, 0.30, 0.30, 0.21) → 0.795</w:t>
            </w:r>
          </w:p>
        </w:tc>
        <w:tc>
          <w:tcPr>
            <w:tcW w:type="dxa" w:w="3168"/>
          </w:tcPr>
          <w:p>
            <w:r/>
            <w:r>
              <w:rPr>
                <w:rFonts w:ascii="Arial" w:hAnsi="Arial" w:cs="Arial"/>
                <w:b w:val="0"/>
                <w:i w:val="0"/>
                <w:sz w:val="20"/>
              </w:rPr>
              <w:t>blend (0.77, 0.08, 0.08, 0.08) → 0.7968</w:t>
            </w:r>
          </w:p>
        </w:tc>
        <w:tc>
          <w:tcPr>
            <w:tcW w:type="dxa" w:w="1584"/>
          </w:tcPr>
          <w:p>
            <w:r/>
            <w:r>
              <w:rPr>
                <w:rFonts w:ascii="Arial" w:hAnsi="Arial" w:cs="Arial"/>
                <w:b w:val="0"/>
                <w:i w:val="0"/>
                <w:sz w:val="20"/>
              </w:rPr>
              <w:t>Optimiser collapses onto LightGBM under strict protocol</w:t>
            </w:r>
          </w:p>
        </w:tc>
      </w:tr>
      <w:tr>
        <w:tc>
          <w:tcPr>
            <w:tcW w:type="dxa" w:w="1440"/>
          </w:tcPr>
          <w:p>
            <w:r/>
            <w:r>
              <w:rPr>
                <w:rFonts w:ascii="Arial" w:hAnsi="Arial" w:cs="Arial"/>
                <w:b w:val="0"/>
                <w:i w:val="0"/>
                <w:sz w:val="20"/>
              </w:rPr>
              <w:t>§8.1 LogReg</w:t>
            </w:r>
          </w:p>
        </w:tc>
        <w:tc>
          <w:tcPr>
            <w:tcW w:type="dxa" w:w="3168"/>
          </w:tcPr>
          <w:p>
            <w:r/>
            <w:r>
              <w:rPr>
                <w:rFonts w:ascii="Arial" w:hAnsi="Arial" w:cs="Arial"/>
                <w:b w:val="0"/>
                <w:i w:val="0"/>
                <w:sz w:val="20"/>
              </w:rPr>
              <w:t>peaks at V1 0.6994, declines through V6</w:t>
            </w:r>
          </w:p>
        </w:tc>
        <w:tc>
          <w:tcPr>
            <w:tcW w:type="dxa" w:w="3168"/>
          </w:tcPr>
          <w:p>
            <w:r/>
            <w:r>
              <w:rPr>
                <w:rFonts w:ascii="Arial" w:hAnsi="Arial" w:cs="Arial"/>
                <w:b w:val="0"/>
                <w:i w:val="0"/>
                <w:sz w:val="20"/>
              </w:rPr>
              <w:t>V1 0.6651 → V7 0.7102</w:t>
            </w:r>
          </w:p>
        </w:tc>
        <w:tc>
          <w:tcPr>
            <w:tcW w:type="dxa" w:w="1584"/>
          </w:tcPr>
          <w:p>
            <w:r/>
            <w:r>
              <w:rPr>
                <w:rFonts w:ascii="Arial" w:hAnsi="Arial" w:cs="Arial"/>
                <w:b w:val="0"/>
                <w:i w:val="0"/>
                <w:sz w:val="20"/>
              </w:rPr>
              <w:t>Story changes: flat-then-jump at V7, not flat-then-decline</w:t>
            </w:r>
          </w:p>
        </w:tc>
      </w:tr>
      <w:tr>
        <w:tc>
          <w:tcPr>
            <w:tcW w:type="dxa" w:w="1440"/>
          </w:tcPr>
          <w:p>
            <w:r/>
            <w:r>
              <w:rPr>
                <w:rFonts w:ascii="Arial" w:hAnsi="Arial" w:cs="Arial"/>
                <w:b w:val="0"/>
                <w:i w:val="0"/>
                <w:sz w:val="20"/>
              </w:rPr>
              <w:t>§8.1 LightGBM</w:t>
            </w:r>
          </w:p>
        </w:tc>
        <w:tc>
          <w:tcPr>
            <w:tcW w:type="dxa" w:w="3168"/>
          </w:tcPr>
          <w:p>
            <w:r/>
            <w:r>
              <w:rPr>
                <w:rFonts w:ascii="Arial" w:hAnsi="Arial" w:cs="Arial"/>
                <w:b w:val="0"/>
                <w:i w:val="0"/>
                <w:sz w:val="20"/>
              </w:rPr>
              <w:t>V1 0.709 → V6 0.769</w:t>
            </w:r>
          </w:p>
        </w:tc>
        <w:tc>
          <w:tcPr>
            <w:tcW w:type="dxa" w:w="3168"/>
          </w:tcPr>
          <w:p>
            <w:r/>
            <w:r>
              <w:rPr>
                <w:rFonts w:ascii="Arial" w:hAnsi="Arial" w:cs="Arial"/>
                <w:b w:val="0"/>
                <w:i w:val="0"/>
                <w:sz w:val="20"/>
              </w:rPr>
              <w:t>V1 0.7051 → V6 0.7750</w:t>
            </w:r>
          </w:p>
        </w:tc>
        <w:tc>
          <w:tcPr>
            <w:tcW w:type="dxa" w:w="1584"/>
          </w:tcPr>
          <w:p>
            <w:r/>
            <w:r>
              <w:rPr>
                <w:rFonts w:ascii="Arial" w:hAnsi="Arial" w:cs="Arial"/>
                <w:b w:val="0"/>
                <w:i w:val="0"/>
                <w:sz w:val="20"/>
              </w:rPr>
              <w:t>Recomputed</w:t>
            </w:r>
          </w:p>
        </w:tc>
      </w:tr>
      <w:tr>
        <w:tc>
          <w:tcPr>
            <w:tcW w:type="dxa" w:w="1440"/>
          </w:tcPr>
          <w:p>
            <w:r/>
            <w:r>
              <w:rPr>
                <w:rFonts w:ascii="Arial" w:hAnsi="Arial" w:cs="Arial"/>
                <w:b w:val="0"/>
                <w:i w:val="0"/>
                <w:sz w:val="20"/>
              </w:rPr>
              <w:t>§8.1 XGBoost</w:t>
            </w:r>
          </w:p>
        </w:tc>
        <w:tc>
          <w:tcPr>
            <w:tcW w:type="dxa" w:w="3168"/>
          </w:tcPr>
          <w:p>
            <w:r/>
            <w:r>
              <w:rPr>
                <w:rFonts w:ascii="Arial" w:hAnsi="Arial" w:cs="Arial"/>
                <w:b w:val="0"/>
                <w:i w:val="0"/>
                <w:sz w:val="20"/>
              </w:rPr>
              <w:t>V1 0.707 → V6 0.771</w:t>
            </w:r>
          </w:p>
        </w:tc>
        <w:tc>
          <w:tcPr>
            <w:tcW w:type="dxa" w:w="3168"/>
          </w:tcPr>
          <w:p>
            <w:r/>
            <w:r>
              <w:rPr>
                <w:rFonts w:ascii="Arial" w:hAnsi="Arial" w:cs="Arial"/>
                <w:b w:val="0"/>
                <w:i w:val="0"/>
                <w:sz w:val="20"/>
              </w:rPr>
              <w:t>V1 0.7044 → V6 0.7728</w:t>
            </w:r>
          </w:p>
        </w:tc>
        <w:tc>
          <w:tcPr>
            <w:tcW w:type="dxa" w:w="1584"/>
          </w:tcPr>
          <w:p>
            <w:r/>
            <w:r>
              <w:rPr>
                <w:rFonts w:ascii="Arial" w:hAnsi="Arial" w:cs="Arial"/>
                <w:b w:val="0"/>
                <w:i w:val="0"/>
                <w:sz w:val="20"/>
              </w:rPr>
              <w:t>Recomputed</w:t>
            </w:r>
          </w:p>
        </w:tc>
      </w:tr>
      <w:tr>
        <w:tc>
          <w:tcPr>
            <w:tcW w:type="dxa" w:w="1440"/>
          </w:tcPr>
          <w:p>
            <w:r/>
            <w:r>
              <w:rPr>
                <w:rFonts w:ascii="Arial" w:hAnsi="Arial" w:cs="Arial"/>
                <w:b w:val="0"/>
                <w:i w:val="0"/>
                <w:sz w:val="20"/>
              </w:rPr>
              <w:t>§8.1 MLP</w:t>
            </w:r>
          </w:p>
        </w:tc>
        <w:tc>
          <w:tcPr>
            <w:tcW w:type="dxa" w:w="3168"/>
          </w:tcPr>
          <w:p>
            <w:r/>
            <w:r>
              <w:rPr>
                <w:rFonts w:ascii="Arial" w:hAnsi="Arial" w:cs="Arial"/>
                <w:b w:val="0"/>
                <w:i w:val="0"/>
                <w:sz w:val="20"/>
              </w:rPr>
              <w:t>≈ 0.700 across all versions</w:t>
            </w:r>
          </w:p>
        </w:tc>
        <w:tc>
          <w:tcPr>
            <w:tcW w:type="dxa" w:w="3168"/>
          </w:tcPr>
          <w:p>
            <w:r/>
            <w:r>
              <w:rPr>
                <w:rFonts w:ascii="Arial" w:hAnsi="Arial" w:cs="Arial"/>
                <w:b w:val="0"/>
                <w:i w:val="0"/>
                <w:sz w:val="20"/>
              </w:rPr>
              <w:t>V1 0.6756 → V7 0.7532</w:t>
            </w:r>
          </w:p>
        </w:tc>
        <w:tc>
          <w:tcPr>
            <w:tcW w:type="dxa" w:w="1584"/>
          </w:tcPr>
          <w:p>
            <w:r/>
            <w:r>
              <w:rPr>
                <w:rFonts w:ascii="Arial" w:hAnsi="Arial" w:cs="Arial"/>
                <w:b w:val="0"/>
                <w:i w:val="0"/>
                <w:sz w:val="20"/>
              </w:rPr>
              <w:t>MLP does benefit from later versions; story refined</w:t>
            </w:r>
          </w:p>
        </w:tc>
      </w:tr>
      <w:tr>
        <w:tc>
          <w:tcPr>
            <w:tcW w:type="dxa" w:w="1440"/>
          </w:tcPr>
          <w:p>
            <w:r/>
            <w:r>
              <w:rPr>
                <w:rFonts w:ascii="Arial" w:hAnsi="Arial" w:cs="Arial"/>
                <w:b w:val="0"/>
                <w:i w:val="0"/>
                <w:sz w:val="20"/>
              </w:rPr>
              <w:t>§8.3</w:t>
            </w:r>
          </w:p>
        </w:tc>
        <w:tc>
          <w:tcPr>
            <w:tcW w:type="dxa" w:w="3168"/>
          </w:tcPr>
          <w:p>
            <w:r/>
            <w:r>
              <w:rPr>
                <w:rFonts w:ascii="Arial" w:hAnsi="Arial" w:cs="Arial"/>
                <w:b w:val="0"/>
                <w:i w:val="0"/>
                <w:sz w:val="20"/>
              </w:rPr>
              <w:t>XGBoost AUROC 0.793, Brier 0.149</w:t>
            </w:r>
          </w:p>
        </w:tc>
        <w:tc>
          <w:tcPr>
            <w:tcW w:type="dxa" w:w="3168"/>
          </w:tcPr>
          <w:p>
            <w:r/>
            <w:r>
              <w:rPr>
                <w:rFonts w:ascii="Arial" w:hAnsi="Arial" w:cs="Arial"/>
                <w:b w:val="0"/>
                <w:i w:val="0"/>
                <w:sz w:val="20"/>
              </w:rPr>
              <w:t>LightGBM AUROC 0.7970</w:t>
            </w:r>
          </w:p>
        </w:tc>
        <w:tc>
          <w:tcPr>
            <w:tcW w:type="dxa" w:w="1584"/>
          </w:tcPr>
          <w:p>
            <w:r/>
            <w:r>
              <w:rPr>
                <w:rFonts w:ascii="Arial" w:hAnsi="Arial" w:cs="Arial"/>
                <w:b w:val="0"/>
                <w:i w:val="0"/>
                <w:sz w:val="20"/>
              </w:rPr>
              <w:t>Model + number updated</w:t>
            </w:r>
          </w:p>
        </w:tc>
      </w:tr>
      <w:tr>
        <w:tc>
          <w:tcPr>
            <w:tcW w:type="dxa" w:w="1440"/>
          </w:tcPr>
          <w:p>
            <w:r/>
            <w:r>
              <w:rPr>
                <w:rFonts w:ascii="Arial" w:hAnsi="Arial" w:cs="Arial"/>
                <w:b w:val="0"/>
                <w:i w:val="0"/>
                <w:sz w:val="20"/>
              </w:rPr>
              <w:t>Table 1 V7</w:t>
            </w:r>
          </w:p>
        </w:tc>
        <w:tc>
          <w:tcPr>
            <w:tcW w:type="dxa" w:w="3168"/>
          </w:tcPr>
          <w:p>
            <w:r/>
            <w:r>
              <w:rPr>
                <w:rFonts w:ascii="Arial" w:hAnsi="Arial" w:cs="Arial"/>
                <w:b w:val="0"/>
                <w:i w:val="0"/>
                <w:sz w:val="20"/>
              </w:rPr>
              <w:t>0.793</w:t>
            </w:r>
          </w:p>
        </w:tc>
        <w:tc>
          <w:tcPr>
            <w:tcW w:type="dxa" w:w="3168"/>
          </w:tcPr>
          <w:p>
            <w:r/>
            <w:r>
              <w:rPr>
                <w:rFonts w:ascii="Arial" w:hAnsi="Arial" w:cs="Arial"/>
                <w:b w:val="0"/>
                <w:i w:val="0"/>
                <w:sz w:val="20"/>
              </w:rPr>
              <w:t>0.7934 (single) / 0.7970 (10-seed)</w:t>
            </w:r>
          </w:p>
        </w:tc>
        <w:tc>
          <w:tcPr>
            <w:tcW w:type="dxa" w:w="1584"/>
          </w:tcPr>
          <w:p>
            <w:r/>
            <w:r>
              <w:rPr>
                <w:rFonts w:ascii="Arial" w:hAnsi="Arial" w:cs="Arial"/>
                <w:b w:val="0"/>
                <w:i w:val="0"/>
                <w:sz w:val="20"/>
              </w:rPr>
              <w:t>Recomputed under strict protocol</w:t>
            </w:r>
          </w:p>
        </w:tc>
      </w:tr>
      <w:tr>
        <w:tc>
          <w:tcPr>
            <w:tcW w:type="dxa" w:w="1440"/>
          </w:tcPr>
          <w:p>
            <w:r/>
            <w:r>
              <w:rPr>
                <w:rFonts w:ascii="Arial" w:hAnsi="Arial" w:cs="Arial"/>
                <w:b w:val="0"/>
                <w:i w:val="0"/>
                <w:sz w:val="20"/>
              </w:rPr>
              <w:t>Table 2 deployed</w:t>
            </w:r>
          </w:p>
        </w:tc>
        <w:tc>
          <w:tcPr>
            <w:tcW w:type="dxa" w:w="3168"/>
          </w:tcPr>
          <w:p>
            <w:r/>
            <w:r>
              <w:rPr>
                <w:rFonts w:ascii="Arial" w:hAnsi="Arial" w:cs="Arial"/>
                <w:b w:val="0"/>
                <w:i w:val="0"/>
                <w:sz w:val="20"/>
              </w:rPr>
              <w:t>XGBoost 50 feat 0.793</w:t>
            </w:r>
          </w:p>
        </w:tc>
        <w:tc>
          <w:tcPr>
            <w:tcW w:type="dxa" w:w="3168"/>
          </w:tcPr>
          <w:p>
            <w:r/>
            <w:r>
              <w:rPr>
                <w:rFonts w:ascii="Arial" w:hAnsi="Arial" w:cs="Arial"/>
                <w:b w:val="0"/>
                <w:i w:val="0"/>
                <w:sz w:val="20"/>
              </w:rPr>
              <w:t>LightGBM 50 feat 0.7970</w:t>
            </w:r>
          </w:p>
        </w:tc>
        <w:tc>
          <w:tcPr>
            <w:tcW w:type="dxa" w:w="1584"/>
          </w:tcPr>
          <w:p>
            <w:r/>
            <w:r>
              <w:rPr>
                <w:rFonts w:ascii="Arial" w:hAnsi="Arial" w:cs="Arial"/>
                <w:b w:val="0"/>
                <w:i w:val="0"/>
                <w:sz w:val="20"/>
              </w:rPr>
              <w:t>Deployment switched</w:t>
            </w:r>
          </w:p>
        </w:tc>
      </w:tr>
      <w:tr>
        <w:tc>
          <w:tcPr>
            <w:tcW w:type="dxa" w:w="1440"/>
          </w:tcPr>
          <w:p>
            <w:r/>
            <w:r>
              <w:rPr>
                <w:rFonts w:ascii="Arial" w:hAnsi="Arial" w:cs="Arial"/>
                <w:b w:val="0"/>
                <w:i w:val="0"/>
                <w:sz w:val="20"/>
              </w:rPr>
              <w:t>Table 2 ensemble</w:t>
            </w:r>
          </w:p>
        </w:tc>
        <w:tc>
          <w:tcPr>
            <w:tcW w:type="dxa" w:w="3168"/>
          </w:tcPr>
          <w:p>
            <w:r/>
            <w:r>
              <w:rPr>
                <w:rFonts w:ascii="Arial" w:hAnsi="Arial" w:cs="Arial"/>
                <w:b w:val="0"/>
                <w:i w:val="0"/>
                <w:sz w:val="20"/>
              </w:rPr>
              <w:t>blend 0.795</w:t>
            </w:r>
          </w:p>
        </w:tc>
        <w:tc>
          <w:tcPr>
            <w:tcW w:type="dxa" w:w="3168"/>
          </w:tcPr>
          <w:p>
            <w:r/>
            <w:r>
              <w:rPr>
                <w:rFonts w:ascii="Arial" w:hAnsi="Arial" w:cs="Arial"/>
                <w:b w:val="0"/>
                <w:i w:val="0"/>
                <w:sz w:val="20"/>
              </w:rPr>
              <w:t>blend 0.7968</w:t>
            </w:r>
          </w:p>
        </w:tc>
        <w:tc>
          <w:tcPr>
            <w:tcW w:type="dxa" w:w="1584"/>
          </w:tcPr>
          <w:p>
            <w:r/>
            <w:r>
              <w:rPr>
                <w:rFonts w:ascii="Arial" w:hAnsi="Arial" w:cs="Arial"/>
                <w:b w:val="0"/>
                <w:i w:val="0"/>
                <w:sz w:val="20"/>
              </w:rPr>
              <w:t>Recomputed</w:t>
            </w:r>
          </w:p>
        </w:tc>
      </w:tr>
      <w:tr>
        <w:tc>
          <w:tcPr>
            <w:tcW w:type="dxa" w:w="1440"/>
          </w:tcPr>
          <w:p>
            <w:r/>
            <w:r>
              <w:rPr>
                <w:rFonts w:ascii="Arial" w:hAnsi="Arial" w:cs="Arial"/>
                <w:b w:val="0"/>
                <w:i w:val="0"/>
                <w:sz w:val="20"/>
              </w:rPr>
              <w:t>§8.6</w:t>
            </w:r>
          </w:p>
        </w:tc>
        <w:tc>
          <w:tcPr>
            <w:tcW w:type="dxa" w:w="3168"/>
          </w:tcPr>
          <w:p>
            <w:r/>
            <w:r>
              <w:rPr>
                <w:rFonts w:ascii="Arial" w:hAnsi="Arial" w:cs="Arial"/>
                <w:b w:val="0"/>
                <w:i w:val="0"/>
                <w:sz w:val="20"/>
              </w:rPr>
              <w:t>(section did not exist)</w:t>
            </w:r>
          </w:p>
        </w:tc>
        <w:tc>
          <w:tcPr>
            <w:tcW w:type="dxa" w:w="3168"/>
          </w:tcPr>
          <w:p>
            <w:r/>
            <w:r>
              <w:rPr>
                <w:rFonts w:ascii="Arial" w:hAnsi="Arial" w:cs="Arial"/>
                <w:b w:val="0"/>
                <w:i w:val="0"/>
                <w:sz w:val="20"/>
              </w:rPr>
              <w:t>5-fold CV stability check added — LightGBM 0.7993 ± 0.0027</w:t>
            </w:r>
          </w:p>
        </w:tc>
        <w:tc>
          <w:tcPr>
            <w:tcW w:type="dxa" w:w="1584"/>
          </w:tcPr>
          <w:p>
            <w:r/>
            <w:r>
              <w:rPr>
                <w:rFonts w:ascii="Arial" w:hAnsi="Arial" w:cs="Arial"/>
                <w:b w:val="0"/>
                <w:i w:val="0"/>
                <w:sz w:val="20"/>
              </w:rPr>
              <w:t>New empirical evidence for the stability claim</w:t>
            </w:r>
          </w:p>
        </w:tc>
      </w:tr>
      <w:tr>
        <w:tc>
          <w:tcPr>
            <w:tcW w:type="dxa" w:w="1440"/>
          </w:tcPr>
          <w:p>
            <w:r/>
            <w:r>
              <w:rPr>
                <w:rFonts w:ascii="Arial" w:hAnsi="Arial" w:cs="Arial"/>
                <w:b w:val="0"/>
                <w:i w:val="0"/>
                <w:sz w:val="20"/>
              </w:rPr>
              <w:t>§10 contribution #2</w:t>
            </w:r>
          </w:p>
        </w:tc>
        <w:tc>
          <w:tcPr>
            <w:tcW w:type="dxa" w:w="3168"/>
          </w:tcPr>
          <w:p>
            <w:r/>
            <w:r>
              <w:rPr>
                <w:rFonts w:ascii="Arial" w:hAnsi="Arial" w:cs="Arial"/>
                <w:b w:val="0"/>
                <w:i w:val="0"/>
                <w:sz w:val="20"/>
              </w:rPr>
              <w:t>single XGBoost 0.793, blend +0.002 not worth overhead</w:t>
            </w:r>
          </w:p>
        </w:tc>
        <w:tc>
          <w:tcPr>
            <w:tcW w:type="dxa" w:w="3168"/>
          </w:tcPr>
          <w:p>
            <w:r/>
            <w:r>
              <w:rPr>
                <w:rFonts w:ascii="Arial" w:hAnsi="Arial" w:cs="Arial"/>
                <w:b w:val="0"/>
                <w:i w:val="0"/>
                <w:sz w:val="20"/>
              </w:rPr>
              <w:t>single LightGBM 0.7970, blend trails best single</w:t>
            </w:r>
          </w:p>
        </w:tc>
        <w:tc>
          <w:tcPr>
            <w:tcW w:type="dxa" w:w="1584"/>
          </w:tcPr>
          <w:p>
            <w:r/>
            <w:r>
              <w:rPr>
                <w:rFonts w:ascii="Arial" w:hAnsi="Arial" w:cs="Arial"/>
                <w:b w:val="0"/>
                <w:i w:val="0"/>
                <w:sz w:val="20"/>
              </w:rPr>
              <w:t>Reversed: blend now redundant</w:t>
            </w:r>
          </w:p>
        </w:tc>
      </w:tr>
      <w:tr>
        <w:tc>
          <w:tcPr>
            <w:tcW w:type="dxa" w:w="1440"/>
          </w:tcPr>
          <w:p>
            <w:r/>
            <w:r>
              <w:rPr>
                <w:rFonts w:ascii="Arial" w:hAnsi="Arial" w:cs="Arial"/>
                <w:b w:val="0"/>
                <w:i w:val="0"/>
                <w:sz w:val="20"/>
              </w:rPr>
              <w:t>§10 conclusion</w:t>
            </w:r>
          </w:p>
        </w:tc>
        <w:tc>
          <w:tcPr>
            <w:tcW w:type="dxa" w:w="3168"/>
          </w:tcPr>
          <w:p>
            <w:r/>
            <w:r>
              <w:rPr>
                <w:rFonts w:ascii="Arial" w:hAnsi="Arial" w:cs="Arial"/>
                <w:b w:val="0"/>
                <w:i w:val="0"/>
                <w:sz w:val="20"/>
              </w:rPr>
              <w:t>AUROC 0.793, +0.109 LACE, +0.079 CBERT</w:t>
            </w:r>
          </w:p>
        </w:tc>
        <w:tc>
          <w:tcPr>
            <w:tcW w:type="dxa" w:w="3168"/>
          </w:tcPr>
          <w:p>
            <w:r/>
            <w:r>
              <w:rPr>
                <w:rFonts w:ascii="Arial" w:hAnsi="Arial" w:cs="Arial"/>
                <w:b w:val="0"/>
                <w:i w:val="0"/>
                <w:sz w:val="20"/>
              </w:rPr>
              <w:t>AUROC 0.7970, +0.113 LACE, +0.083 CBERT</w:t>
            </w:r>
          </w:p>
        </w:tc>
        <w:tc>
          <w:tcPr>
            <w:tcW w:type="dxa" w:w="1584"/>
          </w:tcPr>
          <w:p>
            <w:r/>
            <w:r>
              <w:rPr>
                <w:rFonts w:ascii="Arial" w:hAnsi="Arial" w:cs="Arial"/>
                <w:b w:val="0"/>
                <w:i w:val="0"/>
                <w:sz w:val="20"/>
              </w:rPr>
              <w:t>Updated for new headline model</w:t>
            </w:r>
          </w:p>
        </w:tc>
      </w:tr>
    </w:tbl>
    <w:p>
      <w:pPr>
        <w:spacing w:after="120"/>
      </w:pPr>
    </w:p>
    <w:p>
      <w:pPr>
        <w:spacing w:after="120"/>
      </w:pPr>
      <w:r>
        <w:rPr>
          <w:rFonts w:ascii="Arial" w:hAnsi="Arial" w:cs="Arial"/>
          <w:b/>
          <w:i w:val="0"/>
          <w:sz w:val="22"/>
        </w:rPr>
        <w:t>A.2 Language / framing changes</w:t>
      </w:r>
    </w:p>
    <w:p>
      <w:pPr>
        <w:spacing w:after="120"/>
      </w:pPr>
      <w:r>
        <w:rPr>
          <w:rFonts w:ascii="Arial" w:hAnsi="Arial" w:cs="Arial"/>
          <w:b w:val="0"/>
          <w:i w:val="0"/>
          <w:sz w:val="22"/>
        </w:rPr>
        <w:t>(a) Deployment candidate language switched from XGBoost to LightGBM throughout the abstract, §1, §7.4, §8.3, §8.5, and §10. XGBoost is consistently noted as a co-equal alternative within seed-level variance (≈ 0.0035 AUROC gap).</w:t>
      </w:r>
    </w:p>
    <w:p>
      <w:pPr>
        <w:spacing w:after="120"/>
      </w:pPr>
      <w:r>
        <w:rPr>
          <w:rFonts w:ascii="Arial" w:hAnsi="Arial" w:cs="Arial"/>
          <w:b w:val="0"/>
          <w:i w:val="0"/>
          <w:sz w:val="22"/>
        </w:rPr>
        <w:t>(b) Blend framing reversed: the original report said the blend exceeded the single model by 0.002 AUROC (framed as not worth the overhead); the revised report says the blend trails the best single model under the strict protocol (framed as redundant). The deployment recommendation — use a single model — is preserved.</w:t>
      </w:r>
    </w:p>
    <w:p>
      <w:pPr>
        <w:spacing w:after="120"/>
      </w:pPr>
      <w:r>
        <w:rPr>
          <w:rFonts w:ascii="Arial" w:hAnsi="Arial" w:cs="Arial"/>
          <w:b w:val="0"/>
          <w:i w:val="0"/>
          <w:sz w:val="22"/>
        </w:rPr>
        <w:t>(c) The §7.2 protocol description gained an explicit sentence about the 10% inner-validation slice carved from training for early stopping. The held-out 20% test partition is described as evaluated exactly once.</w:t>
      </w:r>
    </w:p>
    <w:p>
      <w:pPr>
        <w:spacing w:after="120"/>
      </w:pPr>
      <w:r>
        <w:rPr>
          <w:rFonts w:ascii="Arial" w:hAnsi="Arial" w:cs="Arial"/>
          <w:b w:val="0"/>
          <w:i w:val="0"/>
          <w:sz w:val="22"/>
        </w:rPr>
        <w:t>(d) The Table 1 entries for V4 and V5 are now marked “(n/a)” because the V4 and V5 training-table parquets were not preserved in the published Dataset/mimic-parquet/ snapshot.</w:t>
      </w:r>
    </w:p>
    <w:p>
      <w:pPr>
        <w:spacing w:after="120"/>
      </w:pPr>
      <w:r>
        <w:rPr>
          <w:rFonts w:ascii="Arial" w:hAnsi="Arial" w:cs="Arial"/>
          <w:b w:val="0"/>
          <w:i w:val="0"/>
          <w:sz w:val="22"/>
        </w:rPr>
        <w:t>(e) Authorship updated: Dr. Christian Poellabauer moves from the “mentor” byline to third co-author for the publication scope. Acknowledgments updated accordingly.</w:t>
      </w:r>
    </w:p>
    <w:p>
      <w:pPr>
        <w:spacing w:after="120"/>
      </w:pPr>
      <w:r>
        <w:rPr>
          <w:rFonts w:ascii="Arial" w:hAnsi="Arial" w:cs="Arial"/>
          <w:b/>
          <w:i w:val="0"/>
          <w:sz w:val="22"/>
        </w:rPr>
        <w:t>A.3 Reproducibility metadata</w:t>
      </w:r>
    </w:p>
    <w:p>
      <w:pPr>
        <w:spacing w:after="120"/>
      </w:pPr>
      <w:r>
        <w:rPr>
          <w:rFonts w:ascii="Arial" w:hAnsi="Arial" w:cs="Arial"/>
          <w:b w:val="0"/>
          <w:i w:val="0"/>
          <w:sz w:val="22"/>
        </w:rPr>
        <w:t>All revised numbers are produced by the publication notebook at GitHub commit 5c64fea of thiagobandeira1/medicare-30day-readmission-mimic-iv. The reproduction validator in notebook §10.3b verifies that each per-model test AUROC meets or exceeds the corresponding originally published target. Python 3.12.10; key libraries: LightGBM 4.6.0, XGBoost 3.2.0, CatBoost 1.2.10, scikit-learn 1.8.0, SHAP 0.51.0. The complete environment is pinned in environment.yml and requirements.txt in the repo root.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