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D4BCC" w14:textId="77777777" w:rsidR="003821AD" w:rsidRPr="003821AD" w:rsidRDefault="003821AD" w:rsidP="003821AD">
      <w:pPr>
        <w:rPr>
          <w:b/>
          <w:bCs/>
        </w:rPr>
      </w:pPr>
      <w:r w:rsidRPr="003821AD">
        <w:rPr>
          <w:b/>
          <w:bCs/>
        </w:rPr>
        <w:t>Minutes of Meeting – FI Historical Balance Migration Discussion</w:t>
      </w:r>
    </w:p>
    <w:p w14:paraId="07A1B43E" w14:textId="77777777" w:rsidR="003821AD" w:rsidRDefault="003821AD" w:rsidP="003821AD">
      <w:r w:rsidRPr="003821AD">
        <w:rPr>
          <w:b/>
          <w:bCs/>
        </w:rPr>
        <w:t>Meeting Topic:</w:t>
      </w:r>
      <w:r w:rsidRPr="003821AD">
        <w:t xml:space="preserve"> Discussion on FI Historical Balance Migration Object and Historical Transaction Loading Strategy</w:t>
      </w:r>
      <w:r w:rsidRPr="003821AD">
        <w:br/>
      </w:r>
      <w:r w:rsidRPr="003821AD">
        <w:rPr>
          <w:b/>
          <w:bCs/>
        </w:rPr>
        <w:t>Module:</w:t>
      </w:r>
      <w:r w:rsidRPr="003821AD">
        <w:t xml:space="preserve"> Finance (FI)</w:t>
      </w:r>
      <w:r w:rsidRPr="003821AD">
        <w:br/>
      </w:r>
      <w:r w:rsidRPr="003821AD">
        <w:rPr>
          <w:b/>
          <w:bCs/>
        </w:rPr>
        <w:t>Date:</w:t>
      </w:r>
      <w:r w:rsidRPr="003821AD">
        <w:t xml:space="preserve"> May 8, 2026</w:t>
      </w:r>
    </w:p>
    <w:p w14:paraId="52337F81" w14:textId="40EC6517" w:rsidR="003821AD" w:rsidRDefault="003821AD" w:rsidP="003821AD">
      <w:r w:rsidRPr="003821AD">
        <w:rPr>
          <w:b/>
          <w:bCs/>
        </w:rPr>
        <w:t>Q1</w:t>
      </w:r>
      <w:r w:rsidRPr="003821AD">
        <w:t>. Realtime purpose of FI Historical Balance Migration Object?</w:t>
      </w:r>
    </w:p>
    <w:p w14:paraId="388DC0A7" w14:textId="594AE7A7" w:rsidR="003821AD" w:rsidRDefault="003821AD" w:rsidP="003821AD">
      <w:r w:rsidRPr="003821AD">
        <w:rPr>
          <w:b/>
          <w:bCs/>
        </w:rPr>
        <w:t>FI - Historical Balance</w:t>
      </w:r>
      <w:r w:rsidRPr="003821AD">
        <w:t xml:space="preserve"> migration object is designed specifically to load </w:t>
      </w:r>
      <w:r w:rsidRPr="003821AD">
        <w:rPr>
          <w:b/>
          <w:bCs/>
        </w:rPr>
        <w:t>aggregated period-level G/L balances</w:t>
      </w:r>
      <w:r w:rsidRPr="003821AD">
        <w:t xml:space="preserve"> from previous fiscal years into SAP S/4HANA. The primary purpose of this object is to ensure </w:t>
      </w:r>
      <w:r w:rsidRPr="003821AD">
        <w:rPr>
          <w:b/>
          <w:bCs/>
        </w:rPr>
        <w:t>reporting continuity</w:t>
      </w:r>
      <w:r w:rsidRPr="003821AD">
        <w:t xml:space="preserve"> after go-live, enabling users to view comparative financial statements and prior-year balances directly in S/4HANA without referring to the legacy system.</w:t>
      </w:r>
    </w:p>
    <w:p w14:paraId="12F84069" w14:textId="77777777" w:rsidR="003821AD" w:rsidRPr="003821AD" w:rsidRDefault="003821AD" w:rsidP="003821AD">
      <w:r w:rsidRPr="003821AD">
        <w:t>What it loads:</w:t>
      </w:r>
    </w:p>
    <w:p w14:paraId="58CBB5EA" w14:textId="77777777" w:rsidR="003821AD" w:rsidRPr="003821AD" w:rsidRDefault="003821AD" w:rsidP="003821AD">
      <w:pPr>
        <w:numPr>
          <w:ilvl w:val="0"/>
          <w:numId w:val="1"/>
        </w:numPr>
      </w:pPr>
      <w:r w:rsidRPr="003821AD">
        <w:t>A single cumulative debit/credit total per G/L account, per fiscal period, per company code</w:t>
      </w:r>
    </w:p>
    <w:p w14:paraId="1A0EAD93" w14:textId="285C7A13" w:rsidR="003821AD" w:rsidRPr="003821AD" w:rsidRDefault="003821AD" w:rsidP="003821AD">
      <w:pPr>
        <w:numPr>
          <w:ilvl w:val="0"/>
          <w:numId w:val="1"/>
        </w:numPr>
      </w:pPr>
      <w:r w:rsidRPr="003821AD">
        <w:t xml:space="preserve">Optionally broken down by profit </w:t>
      </w:r>
      <w:r w:rsidR="004D399E" w:rsidRPr="003821AD">
        <w:t>centre</w:t>
      </w:r>
      <w:r w:rsidRPr="003821AD">
        <w:t xml:space="preserve">, cost </w:t>
      </w:r>
      <w:r w:rsidR="004D399E" w:rsidRPr="003821AD">
        <w:t>centre</w:t>
      </w:r>
      <w:r w:rsidRPr="003821AD">
        <w:t>, segment, functional area, or other account assignment objects</w:t>
      </w:r>
    </w:p>
    <w:p w14:paraId="40259288" w14:textId="77777777" w:rsidR="003821AD" w:rsidRPr="003821AD" w:rsidRDefault="003821AD" w:rsidP="003821AD">
      <w:pPr>
        <w:numPr>
          <w:ilvl w:val="0"/>
          <w:numId w:val="1"/>
        </w:numPr>
      </w:pPr>
      <w:r w:rsidRPr="003821AD">
        <w:t>Posted via a migration-specific document type into ACDOCA</w:t>
      </w:r>
    </w:p>
    <w:p w14:paraId="7C7332BC" w14:textId="77777777" w:rsidR="003821AD" w:rsidRPr="003821AD" w:rsidRDefault="003821AD" w:rsidP="003821AD">
      <w:r w:rsidRPr="003821AD">
        <w:t>What it does NOT load:</w:t>
      </w:r>
    </w:p>
    <w:p w14:paraId="6A6E5380" w14:textId="77777777" w:rsidR="003821AD" w:rsidRPr="003821AD" w:rsidRDefault="003821AD" w:rsidP="003821AD">
      <w:pPr>
        <w:numPr>
          <w:ilvl w:val="0"/>
          <w:numId w:val="2"/>
        </w:numPr>
      </w:pPr>
      <w:r w:rsidRPr="003821AD">
        <w:t>Individual invoices, payments, credit memos, or any line-item documents</w:t>
      </w:r>
    </w:p>
    <w:p w14:paraId="2586436C" w14:textId="77777777" w:rsidR="003821AD" w:rsidRPr="003821AD" w:rsidRDefault="003821AD" w:rsidP="003821AD">
      <w:pPr>
        <w:numPr>
          <w:ilvl w:val="0"/>
          <w:numId w:val="2"/>
        </w:numPr>
      </w:pPr>
      <w:r w:rsidRPr="003821AD">
        <w:t>Customer or vendor subledger detail</w:t>
      </w:r>
    </w:p>
    <w:p w14:paraId="2AD54B9F" w14:textId="77777777" w:rsidR="003821AD" w:rsidRPr="003821AD" w:rsidRDefault="003821AD" w:rsidP="003821AD">
      <w:pPr>
        <w:numPr>
          <w:ilvl w:val="0"/>
          <w:numId w:val="2"/>
        </w:numPr>
      </w:pPr>
      <w:r w:rsidRPr="003821AD">
        <w:t>Clearing information (AUGDT, AUGBL)</w:t>
      </w:r>
    </w:p>
    <w:p w14:paraId="53C2CDE1" w14:textId="77777777" w:rsidR="003821AD" w:rsidRPr="003821AD" w:rsidRDefault="003821AD" w:rsidP="003821AD">
      <w:pPr>
        <w:numPr>
          <w:ilvl w:val="0"/>
          <w:numId w:val="2"/>
        </w:numPr>
      </w:pPr>
      <w:r w:rsidRPr="003821AD">
        <w:t>Document-level attributes (document type, reference, text, payment terms, etc.)</w:t>
      </w:r>
    </w:p>
    <w:p w14:paraId="6E154C44" w14:textId="77777777" w:rsidR="003821AD" w:rsidRPr="003821AD" w:rsidRDefault="003821AD" w:rsidP="003821AD"/>
    <w:p w14:paraId="66F7C356" w14:textId="3D5A45D5" w:rsidR="003821AD" w:rsidRDefault="003821AD" w:rsidP="003821AD">
      <w:r w:rsidRPr="003821AD">
        <w:rPr>
          <w:b/>
          <w:bCs/>
        </w:rPr>
        <w:t>Q</w:t>
      </w:r>
      <w:r w:rsidR="00A143BC">
        <w:rPr>
          <w:b/>
          <w:bCs/>
        </w:rPr>
        <w:t>2</w:t>
      </w:r>
      <w:r>
        <w:rPr>
          <w:b/>
          <w:bCs/>
        </w:rPr>
        <w:t xml:space="preserve">. </w:t>
      </w:r>
      <w:r w:rsidRPr="003821AD">
        <w:t>Can historical balances (year-over-year summarized balances) be loaded instead of migrating every individual AP/AR/GL</w:t>
      </w:r>
      <w:r>
        <w:t xml:space="preserve"> </w:t>
      </w:r>
      <w:r w:rsidRPr="003821AD">
        <w:t>transaction from the legacy system?</w:t>
      </w:r>
    </w:p>
    <w:p w14:paraId="1E1E9919" w14:textId="355C47F3" w:rsidR="003821AD" w:rsidRDefault="00CD0527">
      <w:r w:rsidRPr="00CD0527">
        <w:t>Yes, you can load year-over-year summarized balances instead of migrating every individual transaction. </w:t>
      </w:r>
      <w:r>
        <w:t>But there are few limitations as below</w:t>
      </w:r>
    </w:p>
    <w:tbl>
      <w:tblPr>
        <w:tblStyle w:val="TableGrid"/>
        <w:tblW w:w="0" w:type="auto"/>
        <w:tblLook w:val="04A0" w:firstRow="1" w:lastRow="0" w:firstColumn="1" w:lastColumn="0" w:noHBand="0" w:noVBand="1"/>
      </w:tblPr>
      <w:tblGrid>
        <w:gridCol w:w="3005"/>
        <w:gridCol w:w="3005"/>
        <w:gridCol w:w="3006"/>
      </w:tblGrid>
      <w:tr w:rsidR="00CD0527" w14:paraId="59564E96" w14:textId="77777777" w:rsidTr="00CD0527">
        <w:tc>
          <w:tcPr>
            <w:tcW w:w="3005" w:type="dxa"/>
          </w:tcPr>
          <w:p w14:paraId="2409E82E" w14:textId="00951A82" w:rsidR="00CD0527" w:rsidRDefault="00CD0527">
            <w:r w:rsidRPr="00CD0527">
              <w:t>Feature</w:t>
            </w:r>
          </w:p>
        </w:tc>
        <w:tc>
          <w:tcPr>
            <w:tcW w:w="3005" w:type="dxa"/>
          </w:tcPr>
          <w:p w14:paraId="2B1CF0D3" w14:textId="06440435" w:rsidR="00CD0527" w:rsidRDefault="00CD0527">
            <w:r w:rsidRPr="00CD0527">
              <w:t>Historical Balance Migration</w:t>
            </w:r>
          </w:p>
        </w:tc>
        <w:tc>
          <w:tcPr>
            <w:tcW w:w="3006" w:type="dxa"/>
          </w:tcPr>
          <w:p w14:paraId="104F9D68" w14:textId="0FAAB29A" w:rsidR="00CD0527" w:rsidRDefault="00CD0527">
            <w:r w:rsidRPr="00CD0527">
              <w:t>Individual Transaction Migration</w:t>
            </w:r>
          </w:p>
        </w:tc>
      </w:tr>
      <w:tr w:rsidR="00CD0527" w14:paraId="1F5CCB81" w14:textId="77777777" w:rsidTr="00CD0527">
        <w:tc>
          <w:tcPr>
            <w:tcW w:w="3005" w:type="dxa"/>
          </w:tcPr>
          <w:p w14:paraId="5F11A5FC" w14:textId="5B7CC63E" w:rsidR="00CD0527" w:rsidRDefault="00CD0527">
            <w:r w:rsidRPr="00CD0527">
              <w:rPr>
                <w:b/>
                <w:bCs/>
              </w:rPr>
              <w:t>Data granularity</w:t>
            </w:r>
          </w:p>
        </w:tc>
        <w:tc>
          <w:tcPr>
            <w:tcW w:w="3005" w:type="dxa"/>
          </w:tcPr>
          <w:p w14:paraId="4319980D" w14:textId="2DADDAF9" w:rsidR="00CD0527" w:rsidRDefault="00CD0527">
            <w:r w:rsidRPr="00CD0527">
              <w:t>One line per account per period</w:t>
            </w:r>
          </w:p>
        </w:tc>
        <w:tc>
          <w:tcPr>
            <w:tcW w:w="3006" w:type="dxa"/>
          </w:tcPr>
          <w:p w14:paraId="47EB0CF4" w14:textId="5CAF3D58" w:rsidR="00CD0527" w:rsidRDefault="00CD0527">
            <w:r w:rsidRPr="00CD0527">
              <w:t>Multiple lines per document</w:t>
            </w:r>
          </w:p>
        </w:tc>
      </w:tr>
      <w:tr w:rsidR="00CD0527" w14:paraId="5FE633D6" w14:textId="77777777" w:rsidTr="00CD0527">
        <w:tc>
          <w:tcPr>
            <w:tcW w:w="3005" w:type="dxa"/>
          </w:tcPr>
          <w:p w14:paraId="45F7C5B1" w14:textId="686009E6" w:rsidR="00CD0527" w:rsidRDefault="00CD0527">
            <w:r w:rsidRPr="00CD0527">
              <w:rPr>
                <w:b/>
                <w:bCs/>
              </w:rPr>
              <w:t>Reporting capability</w:t>
            </w:r>
          </w:p>
        </w:tc>
        <w:tc>
          <w:tcPr>
            <w:tcW w:w="3005" w:type="dxa"/>
          </w:tcPr>
          <w:p w14:paraId="4D67E91F" w14:textId="50480BDD" w:rsidR="00CD0527" w:rsidRDefault="00CD0527">
            <w:r w:rsidRPr="00CD0527">
              <w:t>Balance Sheet and P&amp;L reporting available</w:t>
            </w:r>
          </w:p>
        </w:tc>
        <w:tc>
          <w:tcPr>
            <w:tcW w:w="3006" w:type="dxa"/>
          </w:tcPr>
          <w:p w14:paraId="26673197" w14:textId="31AC7F73" w:rsidR="00CD0527" w:rsidRDefault="00CD0527">
            <w:r w:rsidRPr="00CD0527">
              <w:t>Full line-item visibility</w:t>
            </w:r>
          </w:p>
        </w:tc>
      </w:tr>
      <w:tr w:rsidR="00CD0527" w14:paraId="34EE844F" w14:textId="77777777" w:rsidTr="00CD0527">
        <w:tc>
          <w:tcPr>
            <w:tcW w:w="3005" w:type="dxa"/>
          </w:tcPr>
          <w:p w14:paraId="1D5F8B9C" w14:textId="2DD11ECF" w:rsidR="00CD0527" w:rsidRDefault="00CD0527">
            <w:r w:rsidRPr="00CD0527">
              <w:rPr>
                <w:b/>
                <w:bCs/>
              </w:rPr>
              <w:lastRenderedPageBreak/>
              <w:t>Individual document viewing</w:t>
            </w:r>
          </w:p>
        </w:tc>
        <w:tc>
          <w:tcPr>
            <w:tcW w:w="3005" w:type="dxa"/>
          </w:tcPr>
          <w:p w14:paraId="757BA49A" w14:textId="7D346BE8" w:rsidR="00CD0527" w:rsidRDefault="00CD0527">
            <w:r w:rsidRPr="00CD0527">
              <w:t>Not possible</w:t>
            </w:r>
          </w:p>
        </w:tc>
        <w:tc>
          <w:tcPr>
            <w:tcW w:w="3006" w:type="dxa"/>
          </w:tcPr>
          <w:p w14:paraId="2366AC58" w14:textId="47A799F7" w:rsidR="00CD0527" w:rsidRDefault="00CD0527">
            <w:r>
              <w:t xml:space="preserve"> P</w:t>
            </w:r>
            <w:r w:rsidRPr="00CD0527">
              <w:t>ossible</w:t>
            </w:r>
          </w:p>
        </w:tc>
      </w:tr>
      <w:tr w:rsidR="00CD0527" w14:paraId="53B50250" w14:textId="77777777" w:rsidTr="00CD0527">
        <w:tc>
          <w:tcPr>
            <w:tcW w:w="3005" w:type="dxa"/>
          </w:tcPr>
          <w:p w14:paraId="3D56AA75" w14:textId="33DAB85D" w:rsidR="00CD0527" w:rsidRDefault="00CD0527">
            <w:r w:rsidRPr="00CD0527">
              <w:rPr>
                <w:b/>
                <w:bCs/>
              </w:rPr>
              <w:t>External document numbers</w:t>
            </w:r>
          </w:p>
        </w:tc>
        <w:tc>
          <w:tcPr>
            <w:tcW w:w="3005" w:type="dxa"/>
          </w:tcPr>
          <w:p w14:paraId="40D62997" w14:textId="7212DAC4" w:rsidR="00CD0527" w:rsidRDefault="00CD0527">
            <w:r w:rsidRPr="00CD0527">
              <w:t> Not supported (uses DHGxxxxxx</w:t>
            </w:r>
            <w:r>
              <w:t>)</w:t>
            </w:r>
          </w:p>
        </w:tc>
        <w:tc>
          <w:tcPr>
            <w:tcW w:w="3006" w:type="dxa"/>
          </w:tcPr>
          <w:p w14:paraId="73064C96" w14:textId="4FFDFA81" w:rsidR="00CD0527" w:rsidRDefault="00CD0527">
            <w:r w:rsidRPr="00CD0527">
              <w:t>Supported</w:t>
            </w:r>
          </w:p>
        </w:tc>
      </w:tr>
      <w:tr w:rsidR="00CD0527" w14:paraId="2AF4EFEE" w14:textId="77777777" w:rsidTr="00CD0527">
        <w:tc>
          <w:tcPr>
            <w:tcW w:w="3005" w:type="dxa"/>
          </w:tcPr>
          <w:p w14:paraId="62269F96" w14:textId="6BC3435D" w:rsidR="00CD0527" w:rsidRDefault="00CD0527">
            <w:r w:rsidRPr="00CD0527">
              <w:rPr>
                <w:b/>
                <w:bCs/>
              </w:rPr>
              <w:t>Primary purpose</w:t>
            </w:r>
          </w:p>
        </w:tc>
        <w:tc>
          <w:tcPr>
            <w:tcW w:w="3005" w:type="dxa"/>
          </w:tcPr>
          <w:p w14:paraId="7EC5263D" w14:textId="70906EC5" w:rsidR="00CD0527" w:rsidRDefault="00CD0527">
            <w:r w:rsidRPr="00CD0527">
              <w:t>Audit and internal reporting</w:t>
            </w:r>
          </w:p>
        </w:tc>
        <w:tc>
          <w:tcPr>
            <w:tcW w:w="3006" w:type="dxa"/>
          </w:tcPr>
          <w:p w14:paraId="6C58EFD0" w14:textId="4D41532B" w:rsidR="00CD0527" w:rsidRDefault="00CD0527">
            <w:r w:rsidRPr="00CD0527">
              <w:t>Transaction management and clearing</w:t>
            </w:r>
          </w:p>
        </w:tc>
      </w:tr>
    </w:tbl>
    <w:p w14:paraId="48EE1A97" w14:textId="77777777" w:rsidR="00CD0527" w:rsidRDefault="00CD0527"/>
    <w:p w14:paraId="024582A0" w14:textId="59EEC300" w:rsidR="008B540F" w:rsidRDefault="006A695A">
      <w:r w:rsidRPr="006A695A">
        <w:rPr>
          <w:b/>
          <w:bCs/>
        </w:rPr>
        <w:t>Note :</w:t>
      </w:r>
      <w:r w:rsidR="007E25DF">
        <w:t xml:space="preserve"> </w:t>
      </w:r>
      <w:r w:rsidR="007E25DF" w:rsidRPr="007E25DF">
        <w:t>This should be validated with the FI consultants</w:t>
      </w:r>
      <w:r w:rsidR="007E25DF">
        <w:t xml:space="preserve"> or John </w:t>
      </w:r>
      <w:r w:rsidR="007E25DF" w:rsidRPr="007E25DF">
        <w:t xml:space="preserve"> to obtain a clearer understanding the </w:t>
      </w:r>
      <w:r w:rsidR="007E25DF">
        <w:t>scope</w:t>
      </w:r>
      <w:r>
        <w:t xml:space="preserve"> and the expected data in target system .</w:t>
      </w:r>
    </w:p>
    <w:p w14:paraId="7F224298" w14:textId="544C5760" w:rsidR="008B540F" w:rsidRPr="00A143BC" w:rsidRDefault="008B540F">
      <w:r w:rsidRPr="00A143BC">
        <w:rPr>
          <w:b/>
          <w:bCs/>
        </w:rPr>
        <w:t>Q3.</w:t>
      </w:r>
      <w:r>
        <w:t xml:space="preserve"> Can we see </w:t>
      </w:r>
      <w:r w:rsidRPr="003821AD">
        <w:t>AP/AR</w:t>
      </w:r>
      <w:r>
        <w:t xml:space="preserve"> data in target system if we use the </w:t>
      </w:r>
      <w:r w:rsidRPr="00A143BC">
        <w:t>FI - Historical Balance migration object</w:t>
      </w:r>
      <w:r w:rsidR="004D399E" w:rsidRPr="008B540F">
        <w:t>? </w:t>
      </w:r>
    </w:p>
    <w:p w14:paraId="5641BD40" w14:textId="54BA2DB2" w:rsidR="008B540F" w:rsidRPr="008B540F" w:rsidRDefault="008B540F" w:rsidP="008B540F">
      <w:pPr>
        <w:pStyle w:val="ListParagraph"/>
        <w:numPr>
          <w:ilvl w:val="0"/>
          <w:numId w:val="3"/>
        </w:numPr>
      </w:pPr>
      <w:r w:rsidRPr="008B540F">
        <w:rPr>
          <w:b/>
          <w:bCs/>
        </w:rPr>
        <w:t>Balance vs. Item:</w:t>
      </w:r>
      <w:r w:rsidRPr="008B540F">
        <w:t xml:space="preserve"> Migrating historical GL balances transfers summary totals (debits/credits) for each period into the ACDOCA table. This updates account figures but does not recreate individual historical documents or clearing linkages between invoices and payments. </w:t>
      </w:r>
    </w:p>
    <w:p w14:paraId="33062BEC" w14:textId="1CD13C77" w:rsidR="008B540F" w:rsidRPr="008B540F" w:rsidRDefault="008B540F" w:rsidP="008B540F">
      <w:pPr>
        <w:pStyle w:val="ListParagraph"/>
        <w:numPr>
          <w:ilvl w:val="0"/>
          <w:numId w:val="3"/>
        </w:numPr>
      </w:pPr>
      <w:r w:rsidRPr="008B540F">
        <w:rPr>
          <w:b/>
          <w:bCs/>
        </w:rPr>
        <w:t>Open Item Focus:</w:t>
      </w:r>
      <w:r w:rsidRPr="008B540F">
        <w:t xml:space="preserve"> Migration objects for AR and AP (e.g., SIF_AP_OPEN_ITEM) are specifically designed to bring over only unpaid/uncleared items so they can be processed in the new system. </w:t>
      </w:r>
    </w:p>
    <w:p w14:paraId="08F2F9D0" w14:textId="56D3F583" w:rsidR="008B540F" w:rsidRPr="008B540F" w:rsidRDefault="008B540F" w:rsidP="008B540F">
      <w:pPr>
        <w:pStyle w:val="ListParagraph"/>
        <w:numPr>
          <w:ilvl w:val="0"/>
          <w:numId w:val="3"/>
        </w:numPr>
      </w:pPr>
      <w:r w:rsidRPr="008B540F">
        <w:rPr>
          <w:b/>
          <w:bCs/>
        </w:rPr>
        <w:t>System Limitation:</w:t>
      </w:r>
      <w:r w:rsidRPr="008B540F">
        <w:t xml:space="preserve"> Viewing migrated historical documents is generally not available in the target system because the underlying BKPF/BSEG (traditional document-level data) is not populated.</w:t>
      </w:r>
    </w:p>
    <w:p w14:paraId="54291D3B" w14:textId="6D731C7A" w:rsidR="00CD0527" w:rsidRDefault="00CD0527">
      <w:r w:rsidRPr="00A143BC">
        <w:rPr>
          <w:b/>
          <w:bCs/>
        </w:rPr>
        <w:t>Q</w:t>
      </w:r>
      <w:r w:rsidR="00A143BC" w:rsidRPr="00A143BC">
        <w:rPr>
          <w:b/>
          <w:bCs/>
        </w:rPr>
        <w:t>4</w:t>
      </w:r>
      <w:r>
        <w:t xml:space="preserve">. Purpose of </w:t>
      </w:r>
      <w:r w:rsidRPr="003821AD">
        <w:t>AP/AR</w:t>
      </w:r>
      <w:r>
        <w:t xml:space="preserve"> individual migration object.</w:t>
      </w:r>
    </w:p>
    <w:p w14:paraId="4EC29054" w14:textId="1BED0CEC" w:rsidR="00CD0527" w:rsidRDefault="00CD0527">
      <w:r>
        <w:t xml:space="preserve">Migration objects of </w:t>
      </w:r>
      <w:r w:rsidRPr="003821AD">
        <w:t>AP/AR</w:t>
      </w:r>
      <w:r>
        <w:t xml:space="preserve"> are specially designed to bring over only unpaid or unclear items, so that they can be processed in the new </w:t>
      </w:r>
      <w:r w:rsidR="00A143BC">
        <w:t xml:space="preserve">system. This also provides the </w:t>
      </w:r>
      <w:r w:rsidR="00A143BC" w:rsidRPr="00CD0527">
        <w:t>Full line-item visibility</w:t>
      </w:r>
      <w:r w:rsidR="00A143BC">
        <w:t>.</w:t>
      </w:r>
    </w:p>
    <w:p w14:paraId="75E0472A" w14:textId="795F0DA7" w:rsidR="008B540F" w:rsidRDefault="008B540F">
      <w:r w:rsidRPr="008B540F">
        <w:t>This approach does not support migration of closed items directly. To migrate closed AR or AP documents, the items would first need to be loaded as open items and then subsequently cleared in the target system using appropriate logic or processes.</w:t>
      </w:r>
    </w:p>
    <w:p w14:paraId="23443D1C" w14:textId="77777777" w:rsidR="008B540F" w:rsidRDefault="008B540F"/>
    <w:p w14:paraId="095C2B87" w14:textId="09D4B786" w:rsidR="008B540F" w:rsidRDefault="008B540F">
      <w:r w:rsidRPr="00A143BC">
        <w:rPr>
          <w:b/>
          <w:bCs/>
        </w:rPr>
        <w:t>Q</w:t>
      </w:r>
      <w:r w:rsidR="00A143BC" w:rsidRPr="00A143BC">
        <w:rPr>
          <w:b/>
          <w:bCs/>
        </w:rPr>
        <w:t>5</w:t>
      </w:r>
      <w:r>
        <w:t>.</w:t>
      </w:r>
      <w:r w:rsidRPr="008B540F">
        <w:t xml:space="preserve"> If we load all close</w:t>
      </w:r>
      <w:r>
        <w:t>d</w:t>
      </w:r>
      <w:r w:rsidRPr="008B540F">
        <w:t xml:space="preserve"> AR and APs from the legacy system </w:t>
      </w:r>
      <w:r>
        <w:t xml:space="preserve">as open items </w:t>
      </w:r>
      <w:r w:rsidRPr="008B540F">
        <w:t>into an S/4 system and close them using some custom logic, will there be any impact on FI documents/objects in the target system? </w:t>
      </w:r>
    </w:p>
    <w:p w14:paraId="31338188" w14:textId="77777777" w:rsidR="00A143BC" w:rsidRPr="00A143BC" w:rsidRDefault="00A143BC" w:rsidP="00A143BC">
      <w:pPr>
        <w:rPr>
          <w:b/>
          <w:bCs/>
        </w:rPr>
      </w:pPr>
      <w:r w:rsidRPr="00A143BC">
        <w:rPr>
          <w:rFonts w:ascii="Segoe UI Emoji" w:hAnsi="Segoe UI Emoji" w:cs="Segoe UI Emoji"/>
          <w:b/>
          <w:bCs/>
        </w:rPr>
        <w:t>⚖️</w:t>
      </w:r>
      <w:r w:rsidRPr="00A143BC">
        <w:rPr>
          <w:b/>
          <w:bCs/>
        </w:rPr>
        <w:t xml:space="preserve"> Impact on Financial Postings &amp; Documents</w:t>
      </w:r>
    </w:p>
    <w:p w14:paraId="1FFD0777" w14:textId="77777777" w:rsidR="00A143BC" w:rsidRPr="00A143BC" w:rsidRDefault="00A143BC" w:rsidP="00A143BC">
      <w:pPr>
        <w:numPr>
          <w:ilvl w:val="0"/>
          <w:numId w:val="4"/>
        </w:numPr>
      </w:pPr>
      <w:r w:rsidRPr="00A143BC">
        <w:rPr>
          <w:b/>
          <w:bCs/>
        </w:rPr>
        <w:t>Creation of Artificial Documents</w:t>
      </w:r>
      <w:r w:rsidRPr="00A143BC">
        <w:t>:</w:t>
      </w:r>
    </w:p>
    <w:p w14:paraId="49141787" w14:textId="77777777" w:rsidR="00A143BC" w:rsidRPr="00A143BC" w:rsidRDefault="00A143BC" w:rsidP="00A143BC">
      <w:pPr>
        <w:numPr>
          <w:ilvl w:val="1"/>
          <w:numId w:val="4"/>
        </w:numPr>
      </w:pPr>
      <w:r w:rsidRPr="00A143BC">
        <w:rPr>
          <w:b/>
          <w:bCs/>
        </w:rPr>
        <w:t>Legacy Data</w:t>
      </w:r>
      <w:r w:rsidRPr="00A143BC">
        <w:t>: In your source legacy system, the closed items already have a final, settled state (Invoice A cleared by Payment B).</w:t>
      </w:r>
    </w:p>
    <w:p w14:paraId="22D771D5" w14:textId="77777777" w:rsidR="00A143BC" w:rsidRPr="00A143BC" w:rsidRDefault="00A143BC" w:rsidP="00A143BC">
      <w:pPr>
        <w:numPr>
          <w:ilvl w:val="1"/>
          <w:numId w:val="4"/>
        </w:numPr>
      </w:pPr>
      <w:r w:rsidRPr="00A143BC">
        <w:rPr>
          <w:b/>
          <w:bCs/>
        </w:rPr>
        <w:lastRenderedPageBreak/>
        <w:t>S/4HANA Target</w:t>
      </w:r>
      <w:r w:rsidRPr="00A143BC">
        <w:t>: Loading them as "open" forces the SAP system to generate new accounting documents during the migration process.</w:t>
      </w:r>
    </w:p>
    <w:p w14:paraId="079120E8" w14:textId="106F29A9" w:rsidR="00A143BC" w:rsidRDefault="00A143BC" w:rsidP="00A143BC">
      <w:pPr>
        <w:numPr>
          <w:ilvl w:val="1"/>
          <w:numId w:val="4"/>
        </w:numPr>
      </w:pPr>
      <w:r w:rsidRPr="00A143BC">
        <w:rPr>
          <w:b/>
          <w:bCs/>
        </w:rPr>
        <w:t>Impact</w:t>
      </w:r>
      <w:r w:rsidRPr="00A143BC">
        <w:t>: The system must post a clearing entry to set the status to "Closed”. This effectively creates new financial documents (clearing documents) that represent events (clearing) which occurred in the past.</w:t>
      </w:r>
    </w:p>
    <w:p w14:paraId="2CF2D5BC" w14:textId="12A2F0F3" w:rsidR="00A143BC" w:rsidRDefault="00A143BC" w:rsidP="00A143BC">
      <w:r w:rsidRPr="00A143BC">
        <w:t>ACDOCA, BKPF, and BSEG tables will grow considerably due to the additional migrated and clearing entries.</w:t>
      </w:r>
    </w:p>
    <w:p w14:paraId="3A715F0F" w14:textId="089028DF" w:rsidR="005421A5" w:rsidRPr="00A143BC" w:rsidRDefault="005421A5" w:rsidP="00A143BC">
      <w:r>
        <w:t xml:space="preserve">Mismatch with the </w:t>
      </w:r>
      <w:r w:rsidR="00455E45">
        <w:t>inventory.</w:t>
      </w:r>
    </w:p>
    <w:p w14:paraId="1773E878" w14:textId="7D58D3A5" w:rsidR="008B540F" w:rsidRDefault="00A143BC" w:rsidP="00A143BC">
      <w:pPr>
        <w:jc w:val="both"/>
      </w:pPr>
      <w:r w:rsidRPr="00A143BC">
        <w:t>You are modifying the data (changing status from Closed -&gt; Open -&gt; Closed). If the custom logic fails for 0.5% of your 1 million records, you will have dirty data in production that is very hard to clean.</w:t>
      </w:r>
    </w:p>
    <w:p w14:paraId="49A09C49" w14:textId="0EA9C67E" w:rsidR="00223A35" w:rsidRDefault="00A77793" w:rsidP="00A143BC">
      <w:pPr>
        <w:jc w:val="both"/>
      </w:pPr>
      <w:r w:rsidRPr="00A77793">
        <w:rPr>
          <w:b/>
          <w:bCs/>
        </w:rPr>
        <w:t>Note:</w:t>
      </w:r>
      <w:r>
        <w:t xml:space="preserve"> </w:t>
      </w:r>
      <w:r w:rsidRPr="00A77793">
        <w:t>This should be validated with the FI consultants to obtain a clearer understanding of the potential impacts and recommended approach.</w:t>
      </w:r>
    </w:p>
    <w:sectPr w:rsidR="00223A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F31A8"/>
    <w:multiLevelType w:val="multilevel"/>
    <w:tmpl w:val="5F38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3370D"/>
    <w:multiLevelType w:val="multilevel"/>
    <w:tmpl w:val="3E6AB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0A7A24"/>
    <w:multiLevelType w:val="multilevel"/>
    <w:tmpl w:val="009E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D16DC5"/>
    <w:multiLevelType w:val="hybridMultilevel"/>
    <w:tmpl w:val="55B0C276"/>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num w:numId="1" w16cid:durableId="1470826205">
    <w:abstractNumId w:val="2"/>
  </w:num>
  <w:num w:numId="2" w16cid:durableId="1301963259">
    <w:abstractNumId w:val="0"/>
  </w:num>
  <w:num w:numId="3" w16cid:durableId="1540700773">
    <w:abstractNumId w:val="3"/>
  </w:num>
  <w:num w:numId="4" w16cid:durableId="3033933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1AD"/>
    <w:rsid w:val="00073F53"/>
    <w:rsid w:val="00074979"/>
    <w:rsid w:val="00223A35"/>
    <w:rsid w:val="003821AD"/>
    <w:rsid w:val="003B2B1F"/>
    <w:rsid w:val="00455E45"/>
    <w:rsid w:val="004D399E"/>
    <w:rsid w:val="005421A5"/>
    <w:rsid w:val="006A695A"/>
    <w:rsid w:val="007E25DF"/>
    <w:rsid w:val="00805824"/>
    <w:rsid w:val="008B540F"/>
    <w:rsid w:val="008D68DA"/>
    <w:rsid w:val="009B4A8D"/>
    <w:rsid w:val="00A143BC"/>
    <w:rsid w:val="00A77793"/>
    <w:rsid w:val="00BC191F"/>
    <w:rsid w:val="00C51E74"/>
    <w:rsid w:val="00CD05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2A181"/>
  <w15:chartTrackingRefBased/>
  <w15:docId w15:val="{62084409-BA2C-4166-9B08-E0B194CAF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1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21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21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1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1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1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1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1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1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1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21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21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1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1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1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1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1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1AD"/>
    <w:rPr>
      <w:rFonts w:eastAsiaTheme="majorEastAsia" w:cstheme="majorBidi"/>
      <w:color w:val="272727" w:themeColor="text1" w:themeTint="D8"/>
    </w:rPr>
  </w:style>
  <w:style w:type="paragraph" w:styleId="Title">
    <w:name w:val="Title"/>
    <w:basedOn w:val="Normal"/>
    <w:next w:val="Normal"/>
    <w:link w:val="TitleChar"/>
    <w:uiPriority w:val="10"/>
    <w:qFormat/>
    <w:rsid w:val="00382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1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1AD"/>
    <w:pPr>
      <w:spacing w:before="160"/>
      <w:jc w:val="center"/>
    </w:pPr>
    <w:rPr>
      <w:i/>
      <w:iCs/>
      <w:color w:val="404040" w:themeColor="text1" w:themeTint="BF"/>
    </w:rPr>
  </w:style>
  <w:style w:type="character" w:customStyle="1" w:styleId="QuoteChar">
    <w:name w:val="Quote Char"/>
    <w:basedOn w:val="DefaultParagraphFont"/>
    <w:link w:val="Quote"/>
    <w:uiPriority w:val="29"/>
    <w:rsid w:val="003821AD"/>
    <w:rPr>
      <w:i/>
      <w:iCs/>
      <w:color w:val="404040" w:themeColor="text1" w:themeTint="BF"/>
    </w:rPr>
  </w:style>
  <w:style w:type="paragraph" w:styleId="ListParagraph">
    <w:name w:val="List Paragraph"/>
    <w:basedOn w:val="Normal"/>
    <w:uiPriority w:val="34"/>
    <w:qFormat/>
    <w:rsid w:val="003821AD"/>
    <w:pPr>
      <w:ind w:left="720"/>
      <w:contextualSpacing/>
    </w:pPr>
  </w:style>
  <w:style w:type="character" w:styleId="IntenseEmphasis">
    <w:name w:val="Intense Emphasis"/>
    <w:basedOn w:val="DefaultParagraphFont"/>
    <w:uiPriority w:val="21"/>
    <w:qFormat/>
    <w:rsid w:val="003821AD"/>
    <w:rPr>
      <w:i/>
      <w:iCs/>
      <w:color w:val="0F4761" w:themeColor="accent1" w:themeShade="BF"/>
    </w:rPr>
  </w:style>
  <w:style w:type="paragraph" w:styleId="IntenseQuote">
    <w:name w:val="Intense Quote"/>
    <w:basedOn w:val="Normal"/>
    <w:next w:val="Normal"/>
    <w:link w:val="IntenseQuoteChar"/>
    <w:uiPriority w:val="30"/>
    <w:qFormat/>
    <w:rsid w:val="003821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1AD"/>
    <w:rPr>
      <w:i/>
      <w:iCs/>
      <w:color w:val="0F4761" w:themeColor="accent1" w:themeShade="BF"/>
    </w:rPr>
  </w:style>
  <w:style w:type="character" w:styleId="IntenseReference">
    <w:name w:val="Intense Reference"/>
    <w:basedOn w:val="DefaultParagraphFont"/>
    <w:uiPriority w:val="32"/>
    <w:qFormat/>
    <w:rsid w:val="003821AD"/>
    <w:rPr>
      <w:b/>
      <w:bCs/>
      <w:smallCaps/>
      <w:color w:val="0F4761" w:themeColor="accent1" w:themeShade="BF"/>
      <w:spacing w:val="5"/>
    </w:rPr>
  </w:style>
  <w:style w:type="table" w:styleId="TableGrid">
    <w:name w:val="Table Grid"/>
    <w:basedOn w:val="TableNormal"/>
    <w:uiPriority w:val="39"/>
    <w:rsid w:val="00CD05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678</Words>
  <Characters>3870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 Kanamukkala</dc:creator>
  <cp:keywords/>
  <dc:description/>
  <cp:lastModifiedBy>Anusha Kanamukkala</cp:lastModifiedBy>
  <cp:revision>13</cp:revision>
  <dcterms:created xsi:type="dcterms:W3CDTF">2026-05-08T07:50:00Z</dcterms:created>
  <dcterms:modified xsi:type="dcterms:W3CDTF">2026-05-08T08:54:00Z</dcterms:modified>
</cp:coreProperties>
</file>