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>
          <w:sz w:val="44"/>
          <w:szCs w:val="44"/>
        </w:rPr>
      </w:pPr>
      <w:bookmarkStart w:colFirst="0" w:colLast="0" w:name="_i7ic0ldicswy" w:id="0"/>
      <w:bookmarkEnd w:id="0"/>
      <w:r w:rsidDel="00000000" w:rsidR="00000000" w:rsidRPr="00000000">
        <w:rPr>
          <w:sz w:val="44"/>
          <w:szCs w:val="44"/>
          <w:rtl w:val="0"/>
        </w:rPr>
        <w:t xml:space="preserve">Bônus Dashboard React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z4uu14cpcya" w:id="1"/>
      <w:bookmarkEnd w:id="1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Apex Charts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rosca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coluna/barra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Sumário de dados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Tabelas de dados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integração de componentes de filtragem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4zs1js3ljijt" w:id="2"/>
      <w:bookmarkEnd w:id="2"/>
      <w:r w:rsidDel="00000000" w:rsidR="00000000" w:rsidRPr="00000000">
        <w:rPr>
          <w:sz w:val="36"/>
          <w:szCs w:val="36"/>
          <w:rtl w:val="0"/>
        </w:rPr>
        <w:t xml:space="preserve">Modelo de dados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znpbok30cwf" w:id="3"/>
      <w:bookmarkEnd w:id="3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https://www.figma.com/file/vnK7024sr7YkEe3QdvAFT6/BDS3-dashboard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zdno7gi2poj" w:id="4"/>
      <w:bookmarkEnd w:id="4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https://github.com/devsuperior/dssales-resources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Collection Postman backend DSSales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https://www.getpostman.com/collections/347146ad69cccc80f06e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Código fonte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DSSales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https://drive.google.com/drive/folders/1zESXZedibNkajUmZm6yQwkBPjUASYJY1?usp=sharing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drive/folders/1zESXZedibNkajUmZm6yQwkBPjUASYJY1?usp=sharing" TargetMode="External"/><Relationship Id="rId9" Type="http://schemas.openxmlformats.org/officeDocument/2006/relationships/hyperlink" Target="https://www.getpostman.com/collections/347146ad69cccc80f06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le/vnK7024sr7YkEe3QdvAFT6/BDS3-dashboard" TargetMode="External"/><Relationship Id="rId8" Type="http://schemas.openxmlformats.org/officeDocument/2006/relationships/hyperlink" Target="https://github.com/devsuperior/dssales-resourc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