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8"/>
          <w:sz w:val="32"/>
        </w:rPr>
        <w:t>Atualização Formal — Parecer nº 14 e Falsificação do Lema 9.1</w:t>
      </w:r>
    </w:p>
    <w:p/>
    <w:p>
      <w:r>
        <w:rPr>
          <w:rFonts w:ascii="Calibri" w:hAnsi="Calibri"/>
          <w:b w:val="0"/>
          <w:i w:val="0"/>
          <w:sz w:val="22"/>
        </w:rPr>
        <w:t>Prezado Professor,</w:t>
      </w:r>
    </w:p>
    <w:p>
      <w:r>
        <w:rPr>
          <w:rFonts w:ascii="Calibri" w:hAnsi="Calibri"/>
          <w:b w:val="0"/>
          <w:i w:val="0"/>
          <w:sz w:val="22"/>
        </w:rPr>
        <w:t>Agradecemos profundamente pelas orientações de altíssimo nível formuladas no Parecer nº 14. A sua decisão de submeter os argumentos a um teste de falsificação exato, em vez de aceitar declarações retóricas de fechamento, foi exemplar e acolhida com total respeito e rigor científico.</w:t>
      </w:r>
    </w:p>
    <w:p>
      <w:r>
        <w:rPr>
          <w:rFonts w:ascii="Calibri" w:hAnsi="Calibri"/>
          <w:b w:val="0"/>
          <w:i w:val="0"/>
          <w:sz w:val="22"/>
        </w:rPr>
        <w:t>Conforme Vossa Senhoria prescreveu, congelamos a Versão 4.0.1, não adicionamos nenhum teorema novo e executamos os testes numéricos e analíticos exatos prescritos (Testes A, B e C).</w:t>
      </w:r>
    </w:p>
    <w:p>
      <w:r>
        <w:rPr>
          <w:rFonts w:ascii="Calibri" w:hAnsi="Calibri"/>
          <w:b w:val="0"/>
          <w:i w:val="0"/>
          <w:sz w:val="22"/>
        </w:rPr>
        <w:t>Relatamos os resultados objetivos da auditoria:</w:t>
      </w:r>
    </w:p>
    <w:p>
      <w:r>
        <w:rPr>
          <w:rFonts w:ascii="Calibri" w:hAnsi="Calibri"/>
          <w:b w:val="0"/>
          <w:i w:val="0"/>
          <w:sz w:val="22"/>
        </w:rPr>
        <w:t>1. Teste de Falsificação do Lema 9.1 (Testes A e B):</w:t>
        <w:br/>
        <w:t xml:space="preserve">   - Teste B (Conservação da Média): Confirmamos que a força do fato unitário h(x_1) injeta uma força positiva (-dh/dx_1 = (1-x_1)/2 &gt; 0), violando a conservação da média (d/dt sum x_k &gt; 0). Vossa Senhoria estava coberta de razão: é impossível sustentar conservação da média com fato unitário ativo.</w:t>
        <w:br/>
        <w:t xml:space="preserve">   - Teste A (Hinge vs PAV): Para a cadeia com o fato x_1 = 1, as restrições lineares forçam 1 &lt;= x_1 &lt;= ... &lt;= x_K &lt;= 1, de modo que o politopo LP Z colapsa no singleton Z = {(+1, ..., +1)}. O fluxo do Hinge converge para (+1, ..., +1) com 100% de probabilidade (taxa de sucesso = 1.0, resíduo nulo).</w:t>
        <w:br/>
        <w:t xml:space="preserve">   - Conclusão: A afirmação de que o Hinge falha com probabilidade 1 - o(1) nessa cadeia com fato positivo foi definitivamente FALSIFICADA. O Teorema 9 é mantido formalmente como NÃO FECHADO / EM ABERTO.</w:t>
      </w:r>
    </w:p>
    <w:p>
      <w:r>
        <w:rPr>
          <w:rFonts w:ascii="Calibri" w:hAnsi="Calibri"/>
          <w:b w:val="0"/>
          <w:i w:val="0"/>
          <w:sz w:val="22"/>
        </w:rPr>
        <w:t>2. Correção da Expansão de Stirling (Seção 3):</w:t>
        <w:br/>
        <w:t xml:space="preserve">   Corrigimos o coeficiente assintótico: C(2K, K)/4^K = (1/√(pi K)) (1 - 1/(8K) + O(K^-2)) = Theta(K^-1/2), e não Theta(K^-1). O manuscrito LaTeX e a monografia foram devidamente retificados.</w:t>
      </w:r>
    </w:p>
    <w:p>
      <w:r>
        <w:rPr>
          <w:rFonts w:ascii="Calibri" w:hAnsi="Calibri"/>
          <w:b w:val="0"/>
          <w:i w:val="0"/>
          <w:sz w:val="22"/>
        </w:rPr>
        <w:t>3. Saneamento do Teorema 10 (Seções 7, 8, 9 e 10):</w:t>
        <w:br/>
        <w:t xml:space="preserve">   - Removemos a cota artificial de Frobenius (Seção 9). A prova de sela estrita foi limpa: Tr(H) == 0 e H_lp != 0 (pelo grau global 1 da variável folha x_l, que impede cancelamentos de outras cláusulas) garantem imediatamente lambda_min &lt; 0.</w:t>
        <w:br/>
        <w:t xml:space="preserve">   - Adicionamos a cota de primeiro momento para pares com |c cap c'| &gt;= 2 em alpha &lt; 1/6 (E[pares] &lt;= 9 alpha^2 &lt; 1/4).</w:t>
        <w:br/>
        <w:t xml:space="preserve">   - Desacoplamos formalmente o Hinge do T8 e T9: a separação completa rho_quad &gt;= c(alpha) &gt; 0 depende de análise de bacia independente e permanece NÃO FECHADA / EM ABERTO.</w:t>
      </w:r>
    </w:p>
    <w:p>
      <w:r>
        <w:rPr>
          <w:rFonts w:ascii="Calibri" w:hAnsi="Calibri"/>
          <w:b w:val="0"/>
          <w:i w:val="0"/>
          <w:sz w:val="22"/>
        </w:rPr>
        <w:t>4. Formalização de LaSalle no Bordo no Teorema 7B (Seção 2):</w:t>
        <w:br/>
        <w:t xml:space="preserve">   Explicitamos no manuscrito a convenção formal do cone normal exterior N_X(x) e a definição componente a componente do campo projetado, fechando qualquer ambiguidade de sinal.</w:t>
      </w:r>
    </w:p>
    <w:p>
      <w:r>
        <w:rPr>
          <w:rFonts w:ascii="Calibri" w:hAnsi="Calibri"/>
          <w:b w:val="0"/>
          <w:i w:val="0"/>
          <w:sz w:val="22"/>
        </w:rPr>
        <w:t>5. Matriz de Rigor da Seção 12:</w:t>
        <w:br/>
        <w:t xml:space="preserve">   Adotamos integralmente a tabela prescrita por Vossa Senhoria na Seção 12 do Parecer 14, refletindo fielmente os estados (T1-T6, T4A'/4B fechados; T7B quase fechado; T8 fechado como cota finita; T9 e T10 mantidos em aberto).</w:t>
      </w:r>
    </w:p>
    <w:p>
      <w:r>
        <w:rPr>
          <w:rFonts w:ascii="Calibri" w:hAnsi="Calibri"/>
          <w:b w:val="0"/>
          <w:i w:val="0"/>
          <w:sz w:val="22"/>
        </w:rPr>
        <w:t>Seguem anexos o Relatório de Falsificação e Saneamento detalhado e o pacote do manuscrito atualizado.</w:t>
      </w:r>
    </w:p>
    <w:p>
      <w:r>
        <w:rPr>
          <w:rFonts w:ascii="Calibri" w:hAnsi="Calibri"/>
          <w:b w:val="0"/>
          <w:i w:val="0"/>
          <w:sz w:val="22"/>
        </w:rPr>
        <w:t>Respeitosamente,</w:t>
        <w:br/>
        <w:t>Thiago Carvalho</w:t>
        <w:br/>
        <w:t>Pesquisador Principal — Framework CLG-R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