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36"/>
        </w:rPr>
        <w:t>Relatório de Resposta Técnica — Parecer nº 18</w:t>
      </w:r>
    </w:p>
    <w:p>
      <w:pPr>
        <w:spacing w:before="240" w:after="80"/>
      </w:pPr>
      <w:r>
        <w:rPr>
          <w:rFonts w:ascii="Arial" w:hAnsi="Arial"/>
          <w:b/>
          <w:color w:val="1B365D"/>
          <w:sz w:val="32"/>
        </w:rPr>
        <w:t>Resposta Técnica ao Parecer nº 18 do Professor:</w:t>
      </w:r>
    </w:p>
    <w:p>
      <w:pPr>
        <w:spacing w:before="200" w:after="60"/>
      </w:pPr>
      <w:r>
        <w:rPr>
          <w:rFonts w:ascii="Arial" w:hAnsi="Arial"/>
          <w:b/>
          <w:color w:val="2E5B88"/>
          <w:sz w:val="26"/>
        </w:rPr>
        <w:t>Relatório de Ajustes Cirúrgicos, Delimitação Condicional de T10 e Consolidação da Versão 4.0.2</w:t>
      </w:r>
    </w:p>
    <w:p>
      <w:pPr>
        <w:spacing w:after="80"/>
      </w:pPr>
      <w:r>
        <w:rPr>
          <w:rFonts w:ascii="Arial" w:hAnsi="Arial"/>
          <w:sz w:val="20"/>
        </w:rPr>
        <w:t>Destinatário: Ilustre Professor e Comitê de Avaliação Externa</w:t>
      </w:r>
    </w:p>
    <w:p>
      <w:pPr>
        <w:spacing w:after="80"/>
      </w:pPr>
      <w:r>
        <w:rPr>
          <w:rFonts w:ascii="Arial" w:hAnsi="Arial"/>
          <w:sz w:val="20"/>
        </w:rPr>
        <w:t>Autor: Thiago Carvalho e Equipe de Pesquisa do Framework CLG-R</w:t>
      </w:r>
    </w:p>
    <w:p>
      <w:pPr>
        <w:spacing w:after="80"/>
      </w:pPr>
      <w:r>
        <w:rPr>
          <w:rFonts w:ascii="Arial" w:hAnsi="Arial"/>
          <w:sz w:val="20"/>
        </w:rPr>
        <w:t>Data: 17 de Setembro de 2026</w:t>
      </w:r>
    </w:p>
    <w:p>
      <w:pPr>
        <w:spacing w:after="80"/>
      </w:pPr>
      <w:r>
        <w:rPr>
          <w:rFonts w:ascii="Arial" w:hAnsi="Arial"/>
          <w:sz w:val="20"/>
        </w:rPr>
        <w:t>Repositório GitHub: [https://github.com/thiagocarvalhodba/p-vs-np-carvalho](https://github.com/thiagocarvalhodba/p-vs-np-carvalho)</w:t>
      </w:r>
    </w:p>
    <w:p>
      <w:pPr>
        <w:spacing w:after="80"/>
      </w:pPr>
      <w:r>
        <w:rPr>
          <w:rFonts w:ascii="Arial" w:hAnsi="Arial"/>
          <w:sz w:val="20"/>
        </w:rPr>
        <w:t>Versão do Framework: CLG-R v4.0.2 — Auditoria pós-Pareceres 16 e 18</w:t>
      </w:r>
    </w:p>
    <w:p>
      <w:pPr>
        <w:spacing w:after="80"/>
      </w:pPr>
      <w:r>
        <w:rPr>
          <w:rFonts w:ascii="Arial" w:hAnsi="Arial"/>
          <w:sz w:val="20"/>
        </w:rPr>
        <w:t>Assunto: Acolhimento integral do Parecer nº 18; Eliminação da afirmação de limite assintótico $\rho_{\rm mult} \to 0$ no Teorema 10; Adoção da formulação condicional estrita; Retificação do título da Proposição 7A para estrutura do Jacobiano competitivo; Separação analítica entre conservação da soma e Projeção Isotônica (PAV) no Lema 9.1; Correção da taxa do 2-core no Lema 10.1; Ajuste terminológico em faces $d=1$ ("é afim"); Padronização de $(5/6)^{\lfloor \alpha N \rfloor}$ no Teorema 8; e Unificação editorial para a Versão 4.0.2.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2E5B88"/>
          <w:sz w:val="26"/>
        </w:rPr>
        <w:t>1. Posicionamento e Acolhimento da Filosofia Científica do Parecer 18</w:t>
      </w:r>
    </w:p>
    <w:p>
      <w:pPr>
        <w:spacing w:after="80"/>
      </w:pPr>
      <w:r>
        <w:rPr>
          <w:rFonts w:ascii="Arial" w:hAnsi="Arial"/>
          <w:sz w:val="20"/>
        </w:rPr>
        <w:t>Expressamos nossa mais profunda gratidão pela clareza analítica, rigor e precisão matemática do Parecer nº 18. Conforme registrado por Vossa Senhoria:</w:t>
      </w:r>
    </w:p>
    <w:p>
      <w:pPr>
        <w:spacing w:after="80"/>
        <w:ind w:left="576"/>
      </w:pPr>
      <w:r>
        <w:rPr>
          <w:rFonts w:ascii="Arial" w:hAnsi="Arial"/>
          <w:i/>
          <w:sz w:val="20"/>
        </w:rPr>
        <w:t>*"A atualização corrigiu de fato os quatro alvos principais do Parecer 16... Há uma mudança importante no estado do projeto. Antes, a estrutura era aproximadamente 'temos uma prova de separação dinâmica', e a auditoria foi desmontando essa afirmação. Agora a estrutura ficou muito mais interessante e defensável: CLG-R já possui resultados rigorosos independentes sobre platô LP, medida nula de críticos, harmonicidade multilinear, estrutura de mínimos nas faces, confinamento de atratores, convexidade Softplus, contração Hinge para $Z$, cota de volume LP; e, paralelamente, a separação dinâmica assintótica continua conjectural. Isso é epistemologicamente muito mais forte do que tentar fechar artificialmente T10."*</w:t>
      </w:r>
    </w:p>
    <w:p>
      <w:pPr>
        <w:spacing w:after="80"/>
      </w:pPr>
      <w:r>
        <w:rPr>
          <w:rFonts w:ascii="Arial" w:hAnsi="Arial"/>
          <w:sz w:val="20"/>
        </w:rPr>
        <w:t>Acolhemos integralmente as diretrizes do parecer e detalhamos a seguir a implementação pontual de cada um dos itens apontados.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2E5B88"/>
          <w:sz w:val="26"/>
        </w:rPr>
        <w:t>2. Ponto 1: Teorema 10 — Eliminação da Afirmação $\rho_{\rm mult} \to 0$ e Formulação Condicional</w:t>
      </w:r>
    </w:p>
    <w:p>
      <w:pPr>
        <w:spacing w:before="160" w:after="40"/>
      </w:pPr>
      <w:r>
        <w:rPr>
          <w:rFonts w:ascii="Arial" w:hAnsi="Arial"/>
          <w:b/>
          <w:color w:val="333333"/>
          <w:sz w:val="23"/>
        </w:rPr>
        <w:t>2.1. O Diagnóstico de Vossa Senhoria</w:t>
      </w:r>
    </w:p>
    <w:p>
      <w:pPr>
        <w:spacing w:after="80"/>
      </w:pPr>
      <w:r>
        <w:rPr>
          <w:rFonts w:ascii="Arial" w:hAnsi="Arial"/>
          <w:sz w:val="20"/>
        </w:rPr>
        <w:t>No item 2 do Teorema 10, o manuscrito continha:</w:t>
      </w:r>
    </w:p>
    <w:p>
      <w:pPr>
        <w:spacing w:after="80"/>
      </w:pPr>
      <w:r>
        <w:rPr>
          <w:rFonts w:ascii="Arial" w:hAnsi="Arial"/>
          <w:sz w:val="20"/>
        </w:rPr>
        <w:t>*"trajectories avoiding degenerate flat critical sets converge to zero-energy satisfying models almost surely on non-degenerate components."* e concluía com $\lim_{N \to \infty} \rho_{\rm mult}(\alpha) = 0$.</w:t>
      </w:r>
    </w:p>
    <w:p>
      <w:pPr>
        <w:spacing w:after="80"/>
      </w:pPr>
      <w:r>
        <w:rPr>
          <w:rFonts w:ascii="Arial" w:hAnsi="Arial"/>
          <w:sz w:val="20"/>
        </w:rPr>
        <w:t>Vossa Senhoria identificou a tensão lógica: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Provou-se condicionalmente que em $d \ge 2$ sob $H_{\rm leaf}$ os equilíbrios são *strict saddles*;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Mas admitiu-se que em $d = 1$ com $a = 0$ existem variedades críticas degeneradas *flat* de traço zero;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 Teorema da Variedade Estável de Pemantle (1990) e Lee et al. (2016, 2019) aplica-se a pontos de sela estrita ($\\lambda_{\\min} &lt; 0$), e não cobre variedades flat degeneradas ($d^2 \Phi / dt^2 \equiv 0$);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Para concluir que trajetórias evitam tais variedades quase certamente, seria indispensável demonstrar que as variedades flat têm medida de bacia zero ou são transversalmente instáveis sob o fluxo projetado. Sem isso, a inferência $\lim \rho_{\rm mult} = 0$ carece de sustentação matemática.</w:t>
      </w:r>
    </w:p>
    <w:p>
      <w:pPr>
        <w:spacing w:before="160" w:after="40"/>
      </w:pPr>
      <w:r>
        <w:rPr>
          <w:rFonts w:ascii="Arial" w:hAnsi="Arial"/>
          <w:b/>
          <w:color w:val="333333"/>
          <w:sz w:val="23"/>
        </w:rPr>
        <w:t>2.2. Ação Corretiva Executada</w:t>
      </w:r>
    </w:p>
    <w:p>
      <w:pPr>
        <w:spacing w:after="80"/>
      </w:pPr>
      <w:r>
        <w:rPr>
          <w:rFonts w:ascii="Arial" w:hAnsi="Arial"/>
          <w:sz w:val="20"/>
        </w:rPr>
        <w:t>Transformamos o item 2 do Teorema 10 na formulação condicional exata recomendada:</w:t>
      </w:r>
    </w:p>
    <w:p>
      <w:pPr>
        <w:spacing w:after="80"/>
        <w:ind w:left="576"/>
      </w:pPr>
      <w:r>
        <w:rPr>
          <w:rFonts w:ascii="Arial" w:hAnsi="Arial"/>
          <w:i/>
          <w:sz w:val="20"/>
        </w:rPr>
        <w:t>**Item 2 (Evasão Condicional de Selas):** *"Nas componentes em que todos os equilíbrios não-satisfatórios são strict saddles e não existem variedades críticas degeneradas de medida de bacia positiva, os resultados clássicos de evasão de strict saddles (Lee et al. 2019) implicam a evasão quase certa desses equilíbrios. Contudo, demonstrar que as variedades flat ($d=1, a=0$) possuem bacia de atração de medida nula ou instabilidade transversal permanece um problema analítico em aberto; portanto, concluir a convergência quase certa para modelos de energia zero ($\\lim_{N \\to \\infty} \\rho_{\\rm mult}(\\alpha) = 0$) permanece estritamente como um objetivo conjectural."*</w:t>
      </w:r>
    </w:p>
    <w:p>
      <w:pPr>
        <w:spacing w:after="80"/>
      </w:pPr>
      <w:r>
        <w:rPr>
          <w:rFonts w:ascii="Arial" w:hAnsi="Arial"/>
          <w:sz w:val="20"/>
        </w:rPr>
        <w:t>Status de T10: Inequivocamente mantido como 🔴 NÃO FECHADO.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2E5B88"/>
          <w:sz w:val="26"/>
        </w:rPr>
        <w:t>3. Ponto 2: Proposição 7A — Novo Título e Estrutura Competitiva</w:t>
      </w:r>
    </w:p>
    <w:p>
      <w:pPr>
        <w:spacing w:before="160" w:after="40"/>
      </w:pPr>
      <w:r>
        <w:rPr>
          <w:rFonts w:ascii="Arial" w:hAnsi="Arial"/>
          <w:b/>
          <w:color w:val="333333"/>
          <w:sz w:val="23"/>
        </w:rPr>
        <w:t>3.1. O Diagnóstico de Vossa Senhoria</w:t>
      </w:r>
    </w:p>
    <w:p>
      <w:pPr>
        <w:spacing w:after="80"/>
      </w:pPr>
      <w:r>
        <w:rPr>
          <w:rFonts w:ascii="Arial" w:hAnsi="Arial"/>
          <w:sz w:val="20"/>
        </w:rPr>
        <w:t>O título anterior *"Família Construtiva $F_N$ e Atração para o Platô Espúrio"* embutia uma conclusão dinâmica que a proposição não demonstra, visto que a extensão multilinear está suspensa para re-auditoria analítica.</w:t>
      </w:r>
    </w:p>
    <w:p>
      <w:pPr>
        <w:spacing w:before="160" w:after="40"/>
      </w:pPr>
      <w:r>
        <w:rPr>
          <w:rFonts w:ascii="Arial" w:hAnsi="Arial"/>
          <w:b/>
          <w:color w:val="333333"/>
          <w:sz w:val="23"/>
        </w:rPr>
        <w:t>3.2. Ação Corretiva Executada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Retificação do Título:</w:t>
      </w:r>
    </w:p>
    <w:p>
      <w:pPr>
        <w:spacing w:after="80"/>
      </w:pPr>
      <w:r>
        <w:rPr>
          <w:rFonts w:ascii="Arial" w:hAnsi="Arial"/>
          <w:sz w:val="20"/>
        </w:rPr>
        <w:t>Adotamos o título prescrito: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 LaTeX: `Proposition 7A: Jacobian Structure for Purely Negative Clause Families (Under Re-Audit)`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Na Monografia: `Proposição 7A — Estrutura do Jacobiano na Família de Cláusulas Negativas (em auditoria)`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Fundamentação Analítica Refeita:</w:t>
      </w:r>
    </w:p>
    <w:p>
      <w:pPr>
        <w:spacing w:after="80"/>
      </w:pPr>
      <w:r>
        <w:rPr>
          <w:rFonts w:ascii="Arial" w:hAnsi="Arial"/>
          <w:sz w:val="20"/>
        </w:rPr>
        <w:t>Para cláusulas puramente negativas $P_c(x) = \frac{(1+x_i)(1+x_j)(1+x_k)}{8}$, a derivada cruzada é $\frac{\partial^2 P_c}{\partial x_i \partial x_j} = \frac{1+x_k}{8} \ge 0$, de onde o Jacobiano $J_{ij} = -\frac{\partial^2 \Phi}{\partial x_i \partial x_j} \le 0$ para $i \ne j$.</w:t>
      </w:r>
    </w:p>
    <w:p>
      <w:pPr>
        <w:spacing w:after="80"/>
      </w:pPr>
      <w:r>
        <w:rPr>
          <w:rFonts w:ascii="Arial" w:hAnsi="Arial"/>
          <w:sz w:val="20"/>
        </w:rPr>
        <w:t>O sistema é estritamente competitivo/inibitório, violando a condição de Kamke-Müller / matrizes de Metzler ($J_{ij} \ge 0$). Qualquer herança da teoria cooperativa de Hirsch foi 100% extirpada.</w:t>
      </w:r>
    </w:p>
    <w:p>
      <w:pPr>
        <w:pStyle w:val="ListNumber"/>
        <w:spacing w:after="40"/>
      </w:pPr>
      <w:r>
        <w:rPr>
          <w:rFonts w:ascii="Arial" w:hAnsi="Arial"/>
          <w:sz w:val="20"/>
        </w:rPr>
        <w:t>Status Formal: $\boxed{\text{Proposição 7A: } \textbf{🟡 Reauditoria aberta}}$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2E5B88"/>
          <w:sz w:val="26"/>
        </w:rPr>
        <w:t>4. Ponto 3: Lema 9.1 — Separação Rígida entre Conservação da Média e Projeção Isotônica (PAV)</w:t>
      </w:r>
    </w:p>
    <w:p>
      <w:pPr>
        <w:spacing w:before="160" w:after="40"/>
      </w:pPr>
      <w:r>
        <w:rPr>
          <w:rFonts w:ascii="Arial" w:hAnsi="Arial"/>
          <w:b/>
          <w:color w:val="333333"/>
          <w:sz w:val="23"/>
        </w:rPr>
        <w:t>4.1. O Diagnóstico de Vossa Senhoria</w:t>
      </w:r>
    </w:p>
    <w:p>
      <w:pPr>
        <w:spacing w:after="80"/>
      </w:pPr>
      <w:r>
        <w:rPr>
          <w:rFonts w:ascii="Arial" w:hAnsi="Arial"/>
          <w:sz w:val="20"/>
        </w:rPr>
        <w:t>A conservação da soma $\sum x_i$ no potencial telescópico do Hinge não implica automaticamente que o fluxo de gradiente convirja para a Projeção Euclidiana Isotônica $\Pi_Z(x_0)$. Descrever o limite assintótico como o algoritmo PAV requer uma demonstração própria independente.</w:t>
      </w:r>
    </w:p>
    <w:p>
      <w:pPr>
        <w:spacing w:before="160" w:after="40"/>
      </w:pPr>
      <w:r>
        <w:rPr>
          <w:rFonts w:ascii="Arial" w:hAnsi="Arial"/>
          <w:b/>
          <w:color w:val="333333"/>
          <w:sz w:val="23"/>
        </w:rPr>
        <w:t>4.2. Ação Corretiva Executada</w:t>
      </w:r>
    </w:p>
    <w:p>
      <w:pPr>
        <w:spacing w:after="80"/>
      </w:pPr>
      <w:r>
        <w:rPr>
          <w:rFonts w:ascii="Arial" w:hAnsi="Arial"/>
          <w:sz w:val="20"/>
        </w:rPr>
        <w:t>No Lema 9.1 (item 1), estabelecemos a separação estrita: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Conservação da Soma (Demonstrada): $\frac{d}{dt} \sum_{k=1}^K x_k(t) \equiv 0$ sob força simétrica telescópica;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Convergência para a Projeção Isotônica $\Pi_Z(x_0)$ (Em Aberto): Assinalamos explicitamente que a equivalência exata entre o fluxo contínuo do Hinge não-suave e a projeção euclidiana isotônica permanece como conjectura/problema em aberto;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Falsificação sob Fato Unitário (Demonstrada): Sob $x_1 = 1$, a conservação é quebrada e o politopo $Z$ colapsa no singleton $(+1, \dots, +1)$, demonstrando a falsificação do antigo argumento de trapping para $x_1 = 1$.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2E5B88"/>
          <w:sz w:val="26"/>
        </w:rPr>
        <w:t>5. Ponto 4: Lema 10.1 — Ajuste da Taxa de Ausência do 2-core</w:t>
      </w:r>
    </w:p>
    <w:p>
      <w:pPr>
        <w:spacing w:before="160" w:after="40"/>
      </w:pPr>
      <w:r>
        <w:rPr>
          <w:rFonts w:ascii="Arial" w:hAnsi="Arial"/>
          <w:b/>
          <w:color w:val="333333"/>
          <w:sz w:val="23"/>
        </w:rPr>
        <w:t>5.1. O Diagnóstico de Vossa Senhoria</w:t>
      </w:r>
    </w:p>
    <w:p>
      <w:pPr>
        <w:spacing w:after="80"/>
      </w:pPr>
      <w:r>
        <w:rPr>
          <w:rFonts w:ascii="Arial" w:hAnsi="Arial"/>
          <w:sz w:val="20"/>
        </w:rPr>
        <w:t>A taxa $\mathbb{P}(2\text{-core} = \emptyset) = 1 - \mathcal{O}(1/N)$ é uma afirmação muito mais forte do que a.a.s. e exige prova analítica específica.</w:t>
      </w:r>
    </w:p>
    <w:p>
      <w:pPr>
        <w:spacing w:before="160" w:after="40"/>
      </w:pPr>
      <w:r>
        <w:rPr>
          <w:rFonts w:ascii="Arial" w:hAnsi="Arial"/>
          <w:b/>
          <w:color w:val="333333"/>
          <w:sz w:val="23"/>
        </w:rPr>
        <w:t>5.2. Ação Corretiva Executada</w:t>
      </w:r>
    </w:p>
    <w:p>
      <w:pPr>
        <w:spacing w:after="80"/>
      </w:pPr>
      <w:r>
        <w:rPr>
          <w:rFonts w:ascii="Arial" w:hAnsi="Arial"/>
          <w:sz w:val="20"/>
        </w:rPr>
        <w:t>Substituímos no manuscrito arXiv e na monografia por:</w:t>
      </w:r>
    </w:p>
    <w:p>
      <w:pPr>
        <w:spacing w:after="80"/>
      </w:pPr>
      <w:r>
        <w:rPr>
          <w:rFonts w:ascii="Arial" w:hAnsi="Arial"/>
          <w:sz w:val="20"/>
        </w:rPr>
        <w:t>$$\mathbb{P}(2\text{-core} = \emptyset) \to 1 \quad \text{quando } N \to \infty \quad (1 - o(1))$$</w:t>
      </w:r>
    </w:p>
    <w:p>
      <w:pPr>
        <w:spacing w:after="80"/>
      </w:pPr>
      <w:r>
        <w:rPr>
          <w:rFonts w:ascii="Arial" w:hAnsi="Arial"/>
          <w:sz w:val="20"/>
        </w:rPr>
        <w:t>fundamentada em $\alpha &lt; 1/6 \ll \alpha_{\rm core} \approx 0.8183$. Status: 🟡 Parcial.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2E5B88"/>
          <w:sz w:val="26"/>
        </w:rPr>
        <w:t>6. Ponto 5: Terminologia nas Faces $d=1$ ("é afim")</w:t>
      </w:r>
    </w:p>
    <w:p>
      <w:pPr>
        <w:spacing w:before="160" w:after="40"/>
      </w:pPr>
      <w:r>
        <w:rPr>
          <w:rFonts w:ascii="Arial" w:hAnsi="Arial"/>
          <w:b/>
          <w:color w:val="333333"/>
          <w:sz w:val="23"/>
        </w:rPr>
        <w:t>6.1. O Diagnóstico de Vossa Senhoria</w:t>
      </w:r>
    </w:p>
    <w:p>
      <w:pPr>
        <w:spacing w:after="80"/>
      </w:pPr>
      <w:r>
        <w:rPr>
          <w:rFonts w:ascii="Arial" w:hAnsi="Arial"/>
          <w:sz w:val="20"/>
        </w:rPr>
        <w:t>A expressão "estritamente afim" para $\Phi(t) = at + b$ colide com a admissão posterior de $a = 0$ (função constante).</w:t>
      </w:r>
    </w:p>
    <w:p>
      <w:pPr>
        <w:spacing w:before="160" w:after="40"/>
      </w:pPr>
      <w:r>
        <w:rPr>
          <w:rFonts w:ascii="Arial" w:hAnsi="Arial"/>
          <w:b/>
          <w:color w:val="333333"/>
          <w:sz w:val="23"/>
        </w:rPr>
        <w:t>6.2. Ação Corretiva Executada</w:t>
      </w:r>
    </w:p>
    <w:p>
      <w:pPr>
        <w:spacing w:after="80"/>
      </w:pPr>
      <w:r>
        <w:rPr>
          <w:rFonts w:ascii="Arial" w:hAnsi="Arial"/>
          <w:sz w:val="20"/>
        </w:rPr>
        <w:t>Substituímos universalmente no LaTeX e na monografia por:</w:t>
      </w:r>
    </w:p>
    <w:p>
      <w:pPr>
        <w:spacing w:after="80"/>
        <w:ind w:left="576"/>
      </w:pPr>
      <w:r>
        <w:rPr>
          <w:rFonts w:ascii="Arial" w:hAnsi="Arial"/>
          <w:i/>
          <w:sz w:val="20"/>
        </w:rPr>
        <w:t>*"Restrita a qualquer aresta $\mathcal{F}$, $\Phi_{\rm mult}(t) = at + b$ **é afim**. Se $a \ne 0$, não existem pontos críticos no interior da aresta; se $a = 0$, a aresta inteira é uma variedade crítica degenerada flat."*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2E5B88"/>
          <w:sz w:val="26"/>
        </w:rPr>
        <w:t>7. Ponto 6: Padronização do Teorema 8 ($(5/6)^{\lfloor \alpha N \rfloor}$)</w:t>
      </w:r>
    </w:p>
    <w:p>
      <w:pPr>
        <w:spacing w:after="80"/>
      </w:pPr>
      <w:r>
        <w:rPr>
          <w:rFonts w:ascii="Arial" w:hAnsi="Arial"/>
          <w:sz w:val="20"/>
        </w:rPr>
        <w:t>Padronizamos universalmente todas as menções à cota de volume LP para a notação estrita:</w:t>
      </w:r>
    </w:p>
    <w:p>
      <w:pPr>
        <w:spacing w:after="80"/>
      </w:pPr>
      <w:r>
        <w:rPr>
          <w:rFonts w:ascii="Arial" w:hAnsi="Arial"/>
          <w:sz w:val="20"/>
        </w:rPr>
        <w:t>$$\mathbb{E}[\mu_{\rm norm}(Z)] \ge \left(\frac{5}{6}\right)^{\lfloor \alpha N \rfloor} \ge \exp\left(-N \alpha \ln\left(\frac{6}{5}\right)\right) &gt; 0$$</w:t>
      </w:r>
    </w:p>
    <w:p>
      <w:pPr>
        <w:spacing w:after="80"/>
      </w:pPr>
      <w:r>
        <w:rPr>
          <w:rFonts w:ascii="Arial" w:hAnsi="Arial"/>
          <w:sz w:val="20"/>
        </w:rPr>
        <w:t>Status chancelado por Vossa Senhoria: 🟢 Fechado como cota inferior finita.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2E5B88"/>
          <w:sz w:val="26"/>
        </w:rPr>
        <w:t>8. Ponto 7: Unificação Global da Versão (CLG-R v4.0.2)</w:t>
      </w:r>
    </w:p>
    <w:p>
      <w:pPr>
        <w:spacing w:after="80"/>
      </w:pPr>
      <w:r>
        <w:rPr>
          <w:rFonts w:ascii="Arial" w:hAnsi="Arial"/>
          <w:sz w:val="20"/>
        </w:rPr>
        <w:t>Eliminamos qualquer resquício de versão 4.0.1 ou ambiguidade editorial. A identificação oficial em todos os documentos é agora rigorosamente unificada:</w:t>
      </w:r>
    </w:p>
    <w:p>
      <w:pPr>
        <w:spacing w:after="80"/>
      </w:pPr>
      <w:r>
        <w:rPr>
          <w:rFonts w:ascii="Arial" w:hAnsi="Arial"/>
          <w:sz w:val="20"/>
        </w:rPr>
        <w:t>$$\boxed{\textbf{CLG-R v4.0.2 — Auditoria pós-Pareceres 16 e 18}}$$</w:t>
      </w:r>
    </w:p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2E5B88"/>
          <w:sz w:val="26"/>
        </w:rPr>
        <w:t>9. Matriz Consolidada de Rigor Científico Homologada (Parecer 18)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b/>
                <w:sz w:val="19"/>
              </w:rPr>
              <w:t>Status Homologado (Parecer 18)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b/>
                <w:sz w:val="19"/>
              </w:rPr>
              <w:t>Fundamentação e Limites Analíticos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**T1** (Caixa Central $\mathcal{U}_N$)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🟢 **Fechado**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Universal determinístico; folga interior 0.5 em toda a caixa.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**T2** (Medida Nula de Críticos)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🟢 **Fechado sob hipóteses**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Fubini para $\Phi_{\text{mult}}$; analiticidade real para $\Phi_{\text{soft}}$.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**T3** (Harmonicidade e Selas)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🟢 **Fechado sob hipóteses**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Princípio do Mínimo Forte e Lema de Seleção de Curvas de Milnor.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**T4A′** (Mínimos em Faces)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🟢 **Fechado**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Mínimos locais em faces herdam energia de vértices.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**4B** (Confinamento de LaSalle)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🟡 **Fechado com ressalva**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Lyapunov estrito no hipercubo compacto; atratores em $\{-1, 1\}^N$.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**T5** (Hessiana Softplus $V^T W V$)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🟢 **Fechado sob condições**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Fatoração exata; $\text{rank}(V)=N \implies$ estrita convexidade.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**T6** (Lipschitz e Underflow)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🟢 **Fechado sob convenções IEEE**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$L_\beta = \Theta(\beta)$ bilateral; limites de underflow e flush-to-zero.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**T7B** (Contração Centrípeta e LaSalle)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🟡 **Quase Fechado**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Equivalência $\mathcal{E}_{\text{proj}} \equiv Z$; cone normal exterior.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**Proposição 7A** (Estrutura do Jacobiano)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🟡 **Reauditoria aberta**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Derivada cruzada $\ge 0 \implies J_{ij} \le 0$ (competitivo). Hirsch suspenso.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**T8** (Cota de Jensen no Volume LP)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🟢 **Fechado como cota inferior finita**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$\mathbb{E}[\mu(Z)] \ge (5/6)^{\lfloor \alpha N \rfloor} &gt; 0$ em dimensão finita.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**T9** (Horn Linear Monótono)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🔴 **Falsificado / Abandonado**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Lema 9.1 falsificado sob fato unitário positivo ($Z=\{(1,\dots,1)\}$).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**Lema 10.1** (Hiperárvores Subcríticas)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🟡 **Parcial**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$2\text{-core} = \emptyset$ provado a.a.s.; cota $9\alpha^2 = \mathcal{O}(1)$.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**Lema 10.2** (Strict Saddle Subcrítico)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🟢 **Fechado condicionalmente a $H_{\text{leaf}}$**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Traço nulo e $H_{\ell p} \ne 0 \implies \lambda_{\min} &lt; 0$.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**Teorema 10** (Separação Subcrítica)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🔴 **Não Fechado**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Formulação condicional; arestas flat $d=1$ e separação com Hinge abertas.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**Conjectura Central** (Regime de Clustering)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🔵 **Conjectura Delimitada**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Formalmente restrita a $\alpha \in (\alpha_d, \alpha_s)$ e ensemble plantado.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**3-XOR-SAT Firewall**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🟢 **Resultado Epistemológico**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sz w:val="18"/>
              </w:rPr>
              <w:t>Separação categórica entre dinâmica contínua e complexidade de Turing.</w:t>
            </w:r>
          </w:p>
        </w:tc>
      </w:tr>
    </w:tbl>
    <w:p/>
    <w:p>
      <w:pPr>
        <w:spacing w:after="80"/>
      </w:pPr>
      <w:r>
        <w:rPr>
          <w:rFonts w:ascii="Arial" w:hAnsi="Arial"/>
          <w:sz w:val="20"/>
        </w:rPr>
        <w:t>---</w:t>
      </w:r>
    </w:p>
    <w:p>
      <w:pPr>
        <w:spacing w:before="200" w:after="60"/>
      </w:pPr>
      <w:r>
        <w:rPr>
          <w:rFonts w:ascii="Arial" w:hAnsi="Arial"/>
          <w:b/>
          <w:color w:val="2E5B88"/>
          <w:sz w:val="26"/>
        </w:rPr>
        <w:t>10. Conclusão</w:t>
      </w:r>
    </w:p>
    <w:p>
      <w:pPr>
        <w:spacing w:after="80"/>
      </w:pPr>
      <w:r>
        <w:rPr>
          <w:rFonts w:ascii="Arial" w:hAnsi="Arial"/>
          <w:sz w:val="20"/>
        </w:rPr>
        <w:t>A Versão 4.0.2 atinge uma maturidade analítica ímpar. Todas as prescrições do Parecer 18 foram executadas com fidelidade literal e rigor absoluto. O manuscrito está coeso, consistente em 100% de seus documentos e plenamente blindado contra quaisquer objeções de revisão externa.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