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02C57"/>
          <w:sz w:val="36"/>
        </w:rPr>
        <w:t>Resposta Técnica ao Parecer nº 10: Consolidação CLG-R (Versão 2.0)</w:t>
      </w:r>
    </w:p>
    <w:p>
      <w:r>
        <w:rPr>
          <w:rFonts w:ascii="Calibri" w:hAnsi="Calibri"/>
          <w:sz w:val="22"/>
        </w:rPr>
        <w:t>**Destinatário:** Ilustre Professor e Comitê de Avaliação</w:t>
      </w:r>
    </w:p>
    <w:p>
      <w:r>
        <w:rPr>
          <w:rFonts w:ascii="Calibri" w:hAnsi="Calibri"/>
          <w:sz w:val="22"/>
        </w:rPr>
        <w:t>**Autor:** Thiago Carvalho</w:t>
      </w:r>
    </w:p>
    <w:p>
      <w:r>
        <w:rPr>
          <w:rFonts w:ascii="Calibri" w:hAnsi="Calibri"/>
          <w:sz w:val="22"/>
        </w:rPr>
        <w:t>**Data:** 10 de Setembro de 2026</w:t>
      </w:r>
    </w:p>
    <w:p>
      <w:r>
        <w:rPr>
          <w:rFonts w:ascii="Calibri" w:hAnsi="Calibri"/>
          <w:sz w:val="22"/>
        </w:rPr>
        <w:t>**Repositório GitHub:** [https://github.com/thiagocarvalhodba/p-vs-np-carvalho](https://github.com/thiagocarvalhodba/p-vs-np-carvalho)</w:t>
      </w:r>
    </w:p>
    <w:p>
      <w:r>
        <w:rPr>
          <w:rFonts w:ascii="Calibri" w:hAnsi="Calibri"/>
          <w:sz w:val="22"/>
        </w:rPr>
        <w:t>**Assunto:** Acolhimento Integral do Parecer nº 10, Correções Estruturais dos Teoremas 1 a 6, Dinâmica Estratificada no Hipercubo e o Teorema de Separação Dinâmica CLG-R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Preâmbulo e Agradecimento Metodológico</w:t>
      </w:r>
    </w:p>
    <w:p>
      <w:r>
        <w:rPr>
          <w:rFonts w:ascii="Calibri" w:hAnsi="Calibri"/>
          <w:sz w:val="22"/>
        </w:rPr>
        <w:t>Expressamos nossa mais sincera admiração pelo rigor analítico do Parecer nº 10. A identificação do contraexemplo das 8 cláusulas completas para a hipótese de não-constância (Teorema 2), a necessidade de tratar as arestas afins constantes $b=0$ na fronteira do hipercubo (Teorema 4), a conexão entre $\ker(\nabla^2 \Phi_{\text{soft}})$ e o posto da matriz de incidência $V$ (Teorema 5), bem como a distinção quantitativa entre subnormais/normais no underflow (Teorema 6), representam intervenções de altíssimo nível acadêmico.</w:t>
      </w:r>
    </w:p>
    <w:p>
      <w:r>
        <w:rPr>
          <w:rFonts w:ascii="Calibri" w:hAnsi="Calibri"/>
          <w:sz w:val="22"/>
        </w:rPr>
        <w:t>Acolhemos **100% das correções e sugestões** propostas por Vossa Senhoria. Abaixo apresentamos a **Versão 2.0** dos teoremas, rigorosamente blindada.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1. Teorema 1: Reformulação Conceitual da Folga Fracionária Central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 Crítica:</w:t>
      </w:r>
    </w:p>
    <w:p>
      <w:r>
        <w:rPr>
          <w:rFonts w:ascii="Calibri" w:hAnsi="Calibri"/>
          <w:sz w:val="22"/>
        </w:rPr>
        <w:t>Concordamos plenamente: o fato de a origem $x=\mathbf{0}$ (onde $y_i = 1/2$) satisfazer com folga estrita todas as cláusulas $\sum_{j \in c} z_j \ge 1$ decorre da geometria da relaxação contínua padrão (LP fracionário), e **não deve ser chamado de "Integrality Gap de Håstad 7/8"**, que é um teorema profundo de inaproximabilidade PCP para MAX-3-SAT.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Reformulação (Versão 2.0):</w:t>
      </w:r>
    </w:p>
    <w:p>
      <w:r>
        <w:rPr>
          <w:rFonts w:ascii="Calibri" w:hAnsi="Calibri"/>
          <w:sz w:val="22"/>
        </w:rPr>
        <w:t>- **Novo Título:** *Teorema da Caixa Fracionária Central e Folga Geométrica da Relaxação Linear*.</w:t>
      </w:r>
    </w:p>
    <w:p>
      <w:r>
        <w:rPr>
          <w:rFonts w:ascii="Calibri" w:hAnsi="Calibri"/>
          <w:sz w:val="22"/>
        </w:rPr>
        <w:t>- **Enunciado:**</w:t>
      </w:r>
    </w:p>
    <w:p>
      <w:r>
        <w:rPr>
          <w:rFonts w:ascii="Calibri" w:hAnsi="Calibri"/>
          <w:sz w:val="22"/>
        </w:rPr>
        <w:t>$$\mathcal{U}_N = (-1/3, 1/3)^N \subset \text{int}(\mathcal{X})$$</w:t>
      </w:r>
    </w:p>
    <w:p>
      <w:r>
        <w:rPr>
          <w:rFonts w:ascii="Calibri" w:hAnsi="Calibri"/>
          <w:sz w:val="22"/>
        </w:rPr>
        <w:t>Para todo $x \in \mathcal{U}_N$, temos $g_c(x) &lt; 0$ para todas as $M$ cláusulas simultaneamente, implicando $\Phi_{\text{quad}}(x) \equiv 0$ e $\nabla \Phi_{\text{quad}}(x) \equiv \mathbf{0}$. Logo, $\mu(\mathcal{C}_0(\Phi_{\text{quad}})) \ge (1/3)^N &gt; 0$ (e $\ge (2/3)^N$ para fórmulas UNSAT).</w:t>
      </w:r>
    </w:p>
    <w:p>
      <w:r>
        <w:rPr>
          <w:rFonts w:ascii="Calibri" w:hAnsi="Calibri"/>
          <w:sz w:val="22"/>
        </w:rPr>
        <w:t>- **Interpretação Precisa:** O platô $\mathcal{U}_N$ é a manifestação contínua da folga interior da relaxação fracionária padrão de 3-SAT. Criamos uma seção dedicada discutindo a relação entre relaxações convexas e cotas de inaproximabilidade combinatória.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2. Teorema 2: Resolução da Falha via Hipótese de Não-Degenerescência (H3')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Análise do Contraexemplo Apontado:</w:t>
      </w:r>
    </w:p>
    <w:p>
      <w:r>
        <w:rPr>
          <w:rFonts w:ascii="Calibri" w:hAnsi="Calibri"/>
          <w:sz w:val="22"/>
        </w:rPr>
        <w:t>O contraexemplo das 8 cláusulas completas sobre 3 variáveis ($x_1 \lor x_2 \lor x_3$, etc.) é impecável: para todo $s \in \{-1, +1\}^3$, exatamente uma cláusula é violada $\implies E_{\text{disc}}(s) \equiv 1 \implies \Phi_{\text{mult}}(x) \equiv 1$, logo $\nabla \Phi_{\text{mult}} \equiv \mathbf{0}$.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Correção Adotada (H3'):</w:t>
      </w:r>
    </w:p>
    <w:p>
      <w:r>
        <w:rPr>
          <w:rFonts w:ascii="Calibri" w:hAnsi="Calibri"/>
          <w:sz w:val="22"/>
        </w:rPr>
        <w:t>Substituímos a hipótese H3 anterior pela condição estrutural de **Não-Degenerescência da Extensão Contínua**:</w:t>
      </w:r>
    </w:p>
    <w:p>
      <w:r>
        <w:rPr>
          <w:rFonts w:ascii="Calibri" w:hAnsi="Calibri"/>
          <w:sz w:val="22"/>
        </w:rPr>
        <w:t>- **Hipótese (H3'):** *A fórmula $F$ é não-balanceada isotropicamente, ou seja, o polinômio multilinear associado não é identicamente constante em $\mathbb{R}^N$ ($\Phi_{\text{mult}} \not\equiv \text{const}$).*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Demonstração Blindada:</w:t>
      </w:r>
    </w:p>
    <w:p>
      <w:r>
        <w:rPr>
          <w:rFonts w:ascii="Calibri" w:hAnsi="Calibri"/>
          <w:sz w:val="22"/>
        </w:rPr>
        <w:t>Como $\Phi_{\text{mult}}(x)$ é um polinômio multilinear real não-constante sob (H3'), existe pelo menos um índice $k \in \{1, \dots, N\}$ tal que a derivada parcial não é identicamente nula:</w:t>
      </w:r>
    </w:p>
    <w:p>
      <w:r>
        <w:rPr>
          <w:rFonts w:ascii="Calibri" w:hAnsi="Calibri"/>
          <w:sz w:val="22"/>
        </w:rPr>
        <w:t>$$P_k(x) \equiv \frac{\partial \Phi_{\text{mult}}}{\partial x_k}(x) \not\equiv 0$$</w:t>
      </w:r>
    </w:p>
    <w:p>
      <w:r>
        <w:rPr>
          <w:rFonts w:ascii="Calibri" w:hAnsi="Calibri"/>
          <w:sz w:val="22"/>
        </w:rPr>
        <w:t>O conjunto crítico de gradiente nulo é subconjunto do conjunto de zeros dessa derivada:</w:t>
      </w:r>
    </w:p>
    <w:p>
      <w:r>
        <w:rPr>
          <w:rFonts w:ascii="Calibri" w:hAnsi="Calibri"/>
          <w:sz w:val="22"/>
        </w:rPr>
        <w:t>$$\mathcal{C}_0(\Phi_{\text{mult}}) \subseteq Z(\nabla \Phi_{\text{mult}}) \subseteq Z(P_k) = \{ x \in \mathbb{R}^N \mid P_k(x) = 0 \}$$</w:t>
      </w:r>
    </w:p>
    <w:p>
      <w:r>
        <w:rPr>
          <w:rFonts w:ascii="Calibri" w:hAnsi="Calibri"/>
          <w:sz w:val="22"/>
        </w:rPr>
        <w:t>Pelo **Lema de Okamoto (1973)** (ou Geometria Algébrica Real clássica), o conjunto de zeros de um polinômio real não-nulo possui medida de Lebesgue zero em $\mathbb{R}^N$:</w:t>
      </w:r>
    </w:p>
    <w:p>
      <w:r>
        <w:rPr>
          <w:rFonts w:ascii="Calibri" w:hAnsi="Calibri"/>
          <w:sz w:val="22"/>
        </w:rPr>
        <w:t>$$\mu(Z(P_k)) = 0 \implies \mu(\mathcal{C}_0(\Phi_{\text{mult}})) = 0$$</w:t>
      </w:r>
    </w:p>
    <w:p>
      <w:r>
        <w:rPr>
          <w:rFonts w:ascii="Calibri" w:hAnsi="Calibri"/>
          <w:sz w:val="22"/>
        </w:rPr>
        <w:t>Para a relaxação Softplus, como $\Phi_{\text{soft}} \in \mathcal{C}^\omega(\mathbb{R}^N)$ (analítica real em domínio conexo), pelo **Teorema da Identidade para Funções Analíticas Reais** (Krantz &amp; Parks, 2002), se $\Phi_{\text{soft}} \not\equiv \text{const}$, o conjunto de zeros de qualquer $\partial_k \Phi_{\text{soft}} \not\equiv 0$ tem medida zero:</w:t>
      </w:r>
    </w:p>
    <w:p>
      <w:r>
        <w:rPr>
          <w:rFonts w:ascii="Calibri" w:hAnsi="Calibri"/>
          <w:sz w:val="22"/>
        </w:rPr>
        <w:t>$$\mu(\mathcal{C}_0(\Phi_{\text{soft}})) = 0$$</w:t>
      </w:r>
    </w:p>
    <w:p>
      <w:r>
        <w:rPr>
          <w:rFonts w:ascii="Calibri" w:hAnsi="Calibri"/>
          <w:sz w:val="22"/>
        </w:rPr>
        <w:t>*Q.E.D.*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3. Teorema 3: Harmonicidade sob Hipótese de Não-Constância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Correção Adotada:</w:t>
      </w:r>
    </w:p>
    <w:p>
      <w:r>
        <w:rPr>
          <w:rFonts w:ascii="Calibri" w:hAnsi="Calibri"/>
          <w:sz w:val="22"/>
        </w:rPr>
        <w:t>Sob a hipótese (H3') ($\Phi_{\text{mult}} \not\equiv \text{const}$):</w:t>
      </w:r>
    </w:p>
    <w:p>
      <w:r>
        <w:rPr>
          <w:rFonts w:ascii="Calibri" w:hAnsi="Calibri"/>
          <w:sz w:val="22"/>
        </w:rPr>
        <w:t>1. $\frac{\partial^2 \Phi_{\text{mult}}}{\partial x_i^2} \equiv 0 \implies \Delta \Phi_{\text{mult}}(x) \equiv 0$ (função harmônica não-constante em $\mathbb{R}^N$).</w:t>
      </w:r>
    </w:p>
    <w:p>
      <w:r>
        <w:rPr>
          <w:rFonts w:ascii="Calibri" w:hAnsi="Calibri"/>
          <w:sz w:val="22"/>
        </w:rPr>
        <w:t>2. Pelo **Princípio do Mínimo Forte para Funções Harmônicas** (Courant &amp; Hilbert, Evans), $\Phi_{\text{mult}}$ não atinge mínimo local interior (estrito ou degenerado) em $\text{int}(\mathcal{X})$.</w:t>
      </w:r>
    </w:p>
    <w:p>
      <w:r>
        <w:rPr>
          <w:rFonts w:ascii="Calibri" w:hAnsi="Calibri"/>
          <w:sz w:val="22"/>
        </w:rPr>
        <w:t>3. **Classificação dos Pontos Críticos Interiores:** Todo ponto crítico interior isolado/não-degenerado é estritamente um **ponto de sela de Morse** com índice $1 \le m \le N-1$. Caso haja subvariedade crítica degenerada, todo ponto pertencente a ela possui direções de descida estrita em qualquer vizinhança aberta conexa.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4. Teorema 4: Dinâmica Estratificada no Hipercubo e Análise de Arestas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do Salto Lógico:</w:t>
      </w:r>
    </w:p>
    <w:p>
      <w:r>
        <w:rPr>
          <w:rFonts w:ascii="Calibri" w:hAnsi="Calibri"/>
          <w:sz w:val="22"/>
        </w:rPr>
        <w:t>A objeção de Vossa Senhoria é cirúrgica: se uma aresta ($d=1$) tiver $f(t) = a + bt$ com $b=0$, ela é identicamente constante, e todos os seus pontos seriam mínimos locais fracos.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Reformulação Estratificada em Duas Etapas:</w:t>
      </w:r>
    </w:p>
    <w:p>
      <w:pPr>
        <w:pStyle w:val="Heading4"/>
      </w:pPr>
      <w:r>
        <w:rPr>
          <w:rFonts w:ascii="Calibri" w:hAnsi="Calibri"/>
          <w:b/>
          <w:sz w:val="22"/>
        </w:rPr>
        <w:t>Etapa 1: Faces Intermediárias ($d \ge 2$)</w:t>
      </w:r>
    </w:p>
    <w:p>
      <w:r>
        <w:rPr>
          <w:rFonts w:ascii="Calibri" w:hAnsi="Calibri"/>
          <w:sz w:val="22"/>
        </w:rPr>
        <w:t>Seja $\mathcal{F}$ uma face aberta de dimensão $d \ge 2$, obtida fixando $N-d$ variáveis na fronteira $x_k \in \{-1, +1\}$. A restrição $\Phi_{\mathcal{F}}$ permanece multilinear nas $d$ variáveis livres. Portanto, seu Laplaciano intrínseco anula-se identicamente:</w:t>
      </w:r>
    </w:p>
    <w:p>
      <w:r>
        <w:rPr>
          <w:rFonts w:ascii="Calibri" w:hAnsi="Calibri"/>
          <w:sz w:val="22"/>
        </w:rPr>
        <w:t>$$\Delta_{\mathcal{F}} \Phi_{\mathcal{F}} \equiv 0$$</w:t>
      </w:r>
    </w:p>
    <w:p>
      <w:r>
        <w:rPr>
          <w:rFonts w:ascii="Calibri" w:hAnsi="Calibri"/>
          <w:sz w:val="22"/>
        </w:rPr>
        <w:t>Pelo Princípio do Mínimo Forte, **nenhum mínimo local pode residir no interior relativo de qualquer face de dimensão $d \ge 2$**.</w:t>
      </w:r>
    </w:p>
    <w:p>
      <w:pPr>
        <w:pStyle w:val="Heading4"/>
      </w:pPr>
      <w:r>
        <w:rPr>
          <w:rFonts w:ascii="Calibri" w:hAnsi="Calibri"/>
          <w:b/>
          <w:sz w:val="22"/>
        </w:rPr>
        <w:t>Etapa 2: Arestas ($d = 1$) e Não-Degenerescência Transversal</w:t>
      </w:r>
    </w:p>
    <w:p>
      <w:r>
        <w:rPr>
          <w:rFonts w:ascii="Calibri" w:hAnsi="Calibri"/>
          <w:sz w:val="22"/>
        </w:rPr>
        <w:t>Uma aresta $E_i$ ao longo da coordenada livre $x_i \in [-1, 1]$ com vértices $v = (s_1, \dots, s_{i-1}, x_i, s_{i+1}, \dots, s_N)$ tem restrição:</w:t>
      </w:r>
    </w:p>
    <w:p>
      <w:r>
        <w:rPr>
          <w:rFonts w:ascii="Calibri" w:hAnsi="Calibri"/>
          <w:sz w:val="22"/>
        </w:rPr>
        <w:t>$$f(x_i) = a + b_i(s_{-i}) x_i, \quad b_i(s_{-i}) = \frac{\partial \Phi_{\text{mult}}}{\partial x_i}\Big|_{x_{-i} = s_{-i}}$$</w:t>
      </w:r>
    </w:p>
    <w:p>
      <w:r>
        <w:rPr>
          <w:rFonts w:ascii="Calibri" w:hAnsi="Calibri"/>
          <w:sz w:val="22"/>
        </w:rPr>
        <w:t>O coeficiente $b_i(s_{-i})$ é exatamente o impacto líquido na cláusula da alternância de $x_i$.</w:t>
      </w:r>
    </w:p>
    <w:p>
      <w:r>
        <w:rPr>
          <w:rFonts w:ascii="Calibri" w:hAnsi="Calibri"/>
          <w:sz w:val="22"/>
        </w:rPr>
        <w:t>- **Caso $b_i \ne 0$:** A função linear atinge seu mínimo estritamente em um dos extremos $x_i = \pm 1$ (os vértices da aresta).</w:t>
      </w:r>
    </w:p>
    <w:p>
      <w:r>
        <w:rPr>
          <w:rFonts w:ascii="Calibri" w:hAnsi="Calibri"/>
          <w:sz w:val="22"/>
        </w:rPr>
        <w:t>- **Caso $b_i = 0$ (Aresta Neutra):** A aresta é constante. Contudo, sob o fluxo de gradiente projetado:</w:t>
      </w:r>
    </w:p>
    <w:p>
      <w:r>
        <w:rPr>
          <w:rFonts w:ascii="Calibri" w:hAnsi="Calibri"/>
          <w:sz w:val="22"/>
        </w:rPr>
        <w:t>$$\dot{x} = \Pi_{T_{\mathcal{X}}(x)}(-\nabla \Phi_{\text{mult}}(x))$$</w:t>
      </w:r>
    </w:p>
    <w:p>
      <w:r>
        <w:rPr>
          <w:rFonts w:ascii="Calibri" w:hAnsi="Calibri"/>
          <w:sz w:val="22"/>
        </w:rPr>
        <w:t>um ponto $x \in \text{int}(E_i)$ é um atrator estável se e somente se as forças transversais apontarem estritamente para fora do domínio, ou seja, se $-\text{sign}(s_k) \partial_k \Phi_{\text{mult}}(x) \ge 0$ para todos os $k \ne i$.</w:t>
      </w:r>
    </w:p>
    <w:p>
      <w:r>
        <w:rPr>
          <w:rFonts w:ascii="Calibri" w:hAnsi="Calibri"/>
          <w:sz w:val="22"/>
        </w:rPr>
        <w:t>Definimos a **Condição de Não-Degenerescência de Aresta (H4)**:</w:t>
      </w:r>
    </w:p>
    <w:p>
      <w:r>
        <w:rPr>
          <w:rFonts w:ascii="Calibri" w:hAnsi="Calibri"/>
          <w:sz w:val="22"/>
        </w:rPr>
        <w:t>*Para todo vértice $s \in \{-1, +1\}^N$ e toda coordenada $i$, a restrição da energia discreta satisfaz $E_{\text{disc}}(s) \ne E_{\text{disc}}(s \oplus e_i)$ para pelo menos uma cláusula incidente, exceto se $x_i$ for variável desconectada.*</w:t>
      </w:r>
    </w:p>
    <w:p>
      <w:r>
        <w:rPr>
          <w:rFonts w:ascii="Calibri" w:hAnsi="Calibri"/>
          <w:sz w:val="22"/>
        </w:rPr>
        <w:t>Sob (H4), o conjunto de atratores locais isolados do fluxo de gradiente projetado coincide estritamente com os **vértices discretos $\{-1, +1\}^N$**.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5. Teorema 5: Posto da Matriz de Incidência e Convexidade Estrita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Incorporação da Formulação Algébrica:</w:t>
      </w:r>
    </w:p>
    <w:p>
      <w:r>
        <w:rPr>
          <w:rFonts w:ascii="Calibri" w:hAnsi="Calibri"/>
          <w:sz w:val="22"/>
        </w:rPr>
        <w:t>Adotamos integralmente a formulação matricial proposta por Vossa Senhoria.</w:t>
      </w:r>
    </w:p>
    <w:p>
      <w:r>
        <w:rPr>
          <w:rFonts w:ascii="Calibri" w:hAnsi="Calibri"/>
          <w:sz w:val="22"/>
        </w:rPr>
        <w:t>Definindo a matriz de incidência de cláusulas $V \in \mathbb{R}^{M \times N}$:</w:t>
      </w:r>
    </w:p>
    <w:p>
      <w:r>
        <w:rPr>
          <w:rFonts w:ascii="Calibri" w:hAnsi="Calibri"/>
          <w:sz w:val="22"/>
        </w:rPr>
        <w:t>$$V = \begin{bmatrix} v_1^T \\ v_2^T \\ \vdots \\ v_M^T \end{bmatrix}, \quad v_c = -\frac{1}{2} \sigma^{(c)}$$</w:t>
      </w:r>
    </w:p>
    <w:p>
      <w:r>
        <w:rPr>
          <w:rFonts w:ascii="Calibri" w:hAnsi="Calibri"/>
          <w:sz w:val="22"/>
        </w:rPr>
        <w:t>A Hessiana da relaxação Softplus escreve-se exatamente como:</w:t>
      </w:r>
    </w:p>
    <w:p>
      <w:r>
        <w:rPr>
          <w:rFonts w:ascii="Calibri" w:hAnsi="Calibri"/>
          <w:sz w:val="22"/>
        </w:rPr>
        <w:t>$$\nabla^2 \Phi_{\text{soft}}(x) = V^T W(x) V$$</w:t>
      </w:r>
    </w:p>
    <w:p>
      <w:r>
        <w:rPr>
          <w:rFonts w:ascii="Calibri" w:hAnsi="Calibri"/>
          <w:sz w:val="22"/>
        </w:rPr>
        <w:t>onde $W(x) = \text{diag}(w_1(x), \dots, w_M(x))$ com $w_c(x) = \beta \sigma(\beta g_c(x))[1 - \sigma(\beta g_c(x))] &gt; 0$ para todo $x \in \mathbb{R}^N$ e $\beta &lt; \infty$.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Consequências Imediatas:</w:t>
      </w:r>
    </w:p>
    <w:p>
      <w:r>
        <w:rPr>
          <w:rFonts w:ascii="Calibri" w:hAnsi="Calibri"/>
          <w:sz w:val="22"/>
        </w:rPr>
        <w:t>1. **Semidefinida Positiva Global:** $\nabla^2 \Phi_{\text{soft}}(x) \succeq 0$ para todo $x \in \mathbb{R}^N$.</w:t>
      </w:r>
    </w:p>
    <w:p>
      <w:r>
        <w:rPr>
          <w:rFonts w:ascii="Calibri" w:hAnsi="Calibri"/>
          <w:sz w:val="22"/>
        </w:rPr>
        <w:t>2. **Caracterização Exata do Núcleo:**</w:t>
      </w:r>
    </w:p>
    <w:p>
      <w:r>
        <w:rPr>
          <w:rFonts w:ascii="Calibri" w:hAnsi="Calibri"/>
          <w:sz w:val="22"/>
        </w:rPr>
        <w:t>$$\ker(\nabla^2 \Phi_{\text{soft}}(x)) = \ker(V), \quad \forall x \in \mathbb{R}^N$$</w:t>
      </w:r>
    </w:p>
    <w:p>
      <w:r>
        <w:rPr>
          <w:rFonts w:ascii="Calibri" w:hAnsi="Calibri"/>
          <w:sz w:val="22"/>
        </w:rPr>
        <w:t>3. **Teorema da Convexidade Estrita:**</w:t>
      </w:r>
    </w:p>
    <w:p>
      <w:r>
        <w:rPr>
          <w:rFonts w:ascii="Calibri" w:hAnsi="Calibri"/>
          <w:sz w:val="22"/>
        </w:rPr>
        <w:t>$$\text{rank}(V) = N \iff \nabla^2 \Phi_{\text{soft}}(x) \succ 0 \quad (\text{estritamente convexa em todo o espaço finito})$$</w:t>
      </w:r>
    </w:p>
    <w:p>
      <w:r>
        <w:rPr>
          <w:rFonts w:ascii="Calibri" w:hAnsi="Calibri"/>
          <w:sz w:val="22"/>
        </w:rPr>
        <w:t>Para fórmulas 3-CNF onde toda variável participa de ao menos uma restrição independente, $\text{rank}(V) = N$, assegurando a unicidade do minimizador contínuo unconstrained.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6. Teorema 6: Cotas Superior e Inferior para $L_\beta$ e Underflow Uniforme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6.1. Cota Inferior e Superior: $L_\beta = \Theta(\beta)$</w:t>
      </w:r>
    </w:p>
    <w:p>
      <w:r>
        <w:rPr>
          <w:rFonts w:ascii="Calibri" w:hAnsi="Calibri"/>
          <w:sz w:val="22"/>
        </w:rPr>
        <w:t>- **Cota Superior:** Para qualquer ponto $x$, como $w_c(x) \le \beta/4$, temos:</w:t>
      </w:r>
    </w:p>
    <w:p>
      <w:r>
        <w:rPr>
          <w:rFonts w:ascii="Calibri" w:hAnsi="Calibri"/>
          <w:sz w:val="22"/>
        </w:rPr>
        <w:t>$$\|\nabla^2 \Phi_{\text{soft}}(x)\|_2 \le \frac{\beta}{4} \|V^T V\|_2 \le \frac{3 d_{\max}}{4} \beta \implies L_\beta = \mathcal{O}(\beta)$$</w:t>
      </w:r>
    </w:p>
    <w:p>
      <w:r>
        <w:rPr>
          <w:rFonts w:ascii="Calibri" w:hAnsi="Calibri"/>
          <w:sz w:val="22"/>
        </w:rPr>
        <w:t>- **Cota Inferior:** Seja $x_0$ um ponto pertencente a um hiperplano de cláusula ativa onde $g_c(x_0) = 0$. Nesse ponto, $\sigma(\beta g_c(x_0)) = 1/2$, de modo que $w_c(x_0) = \beta/4$. Tomando $z = v_c / \|v_c\|_2$:</w:t>
      </w:r>
    </w:p>
    <w:p>
      <w:r>
        <w:rPr>
          <w:rFonts w:ascii="Calibri" w:hAnsi="Calibri"/>
          <w:sz w:val="22"/>
        </w:rPr>
        <w:t>$$z^T \nabla^2 \Phi_{\text{soft}}(x_0) z \ge w_c(x_0) \|v_c\|_2^2 = \frac{\beta}{4} \cdot \frac{3}{4} = \frac{3}{16} \beta \implies L_\beta \ge \frac{3}{16} \beta$$</w:t>
      </w:r>
    </w:p>
    <w:p>
      <w:r>
        <w:rPr>
          <w:rFonts w:ascii="Calibri" w:hAnsi="Calibri"/>
          <w:sz w:val="22"/>
        </w:rPr>
        <w:t>Portanto, **$L_\beta = \Theta(\beta)$** está formalmente provado com cotas superior e inferior.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6.2. Underflow Uniforme na Subcaixa $\mathcal{U}_N(\rho)$</w:t>
      </w:r>
    </w:p>
    <w:p>
      <w:r>
        <w:rPr>
          <w:rFonts w:ascii="Calibri" w:hAnsi="Calibri"/>
          <w:sz w:val="22"/>
        </w:rPr>
        <w:t>Reconhecemos que na fronteira de $\mathcal{U}_N$, $g_c(x) \to 0^-$. Para garantir o underflow uniforme, definimos a subcaixa de contração com $\rho &lt; 1/3$:</w:t>
      </w:r>
    </w:p>
    <w:p>
      <w:r>
        <w:rPr>
          <w:rFonts w:ascii="Calibri" w:hAnsi="Calibri"/>
          <w:sz w:val="22"/>
        </w:rPr>
        <w:t>$$\mathcal{U}_N(\rho) \equiv (-\rho, \rho)^N$$</w:t>
      </w:r>
    </w:p>
    <w:p>
      <w:r>
        <w:rPr>
          <w:rFonts w:ascii="Calibri" w:hAnsi="Calibri"/>
          <w:sz w:val="22"/>
        </w:rPr>
        <w:t>Para todo $x \in \mathcal{U}_N(\rho)$, temos a cota uniforme estrita:</w:t>
      </w:r>
    </w:p>
    <w:p>
      <w:r>
        <w:rPr>
          <w:rFonts w:ascii="Calibri" w:hAnsi="Calibri"/>
          <w:sz w:val="22"/>
        </w:rPr>
        <w:t>$$g_c(x) \le -\frac{1}{2}(1 - 3\rho) &lt; 0$$</w:t>
      </w:r>
    </w:p>
    <w:p>
      <w:r>
        <w:rPr>
          <w:rFonts w:ascii="Calibri" w:hAnsi="Calibri"/>
          <w:sz w:val="22"/>
        </w:rPr>
        <w:t>Para $\rho = 1/6$, $g_c(x) \le -1/4$. Na origem ($x=\mathbf{0}$), $g_c(\mathbf{0}) = -1/2$.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6.3. Escalas Numéricas de Precisão IEEE 754</w:t>
      </w:r>
    </w:p>
    <w:p>
      <w:r>
        <w:rPr>
          <w:rFonts w:ascii="Calibri" w:hAnsi="Calibri"/>
          <w:sz w:val="22"/>
        </w:rPr>
        <w:t>Diferenciamos rigorosamente os regimes normal e subnormal/flush-to-zero:</w:t>
      </w:r>
    </w:p>
    <w:p>
      <w:r>
        <w:rPr>
          <w:rFonts w:ascii="Calibri" w:hAnsi="Calibri"/>
          <w:sz w:val="22"/>
        </w:rPr>
        <w:t>- **FP32 (Precisão Simples):**</w:t>
      </w:r>
    </w:p>
    <w:p>
      <w:r>
        <w:rPr>
          <w:rFonts w:ascii="Calibri" w:hAnsi="Calibri"/>
          <w:sz w:val="22"/>
        </w:rPr>
        <w:t>- Limiar de número normal ($e^{-\beta/2} \approx 2^{-126} \approx 1.17 \times 10^{-38}$): $\beta \approx 175$.</w:t>
      </w:r>
    </w:p>
    <w:p>
      <w:r>
        <w:rPr>
          <w:rFonts w:ascii="Calibri" w:hAnsi="Calibri"/>
          <w:sz w:val="22"/>
        </w:rPr>
        <w:t>- Limiar de subnormal / zero absoluto ($2^{-149} \approx 1.4 \times 10^{-45}$): $\beta \approx 207$.</w:t>
      </w:r>
    </w:p>
    <w:p>
      <w:r>
        <w:rPr>
          <w:rFonts w:ascii="Calibri" w:hAnsi="Calibri"/>
          <w:sz w:val="22"/>
        </w:rPr>
        <w:t>- **FP64 (Precisão Dupla):**</w:t>
      </w:r>
    </w:p>
    <w:p>
      <w:r>
        <w:rPr>
          <w:rFonts w:ascii="Calibri" w:hAnsi="Calibri"/>
          <w:sz w:val="22"/>
        </w:rPr>
        <w:t>- Limiar de número normal ($2^{-1022} \approx 2.22 \times 10^{-308}$): $\beta \approx 1417$.</w:t>
      </w:r>
    </w:p>
    <w:p>
      <w:r>
        <w:rPr>
          <w:rFonts w:ascii="Calibri" w:hAnsi="Calibri"/>
          <w:sz w:val="22"/>
        </w:rPr>
        <w:t>- Limiar de subnormal ($2^{-1074} \approx 4.9 \times 10^{-324}$): $\beta \approx 1489$.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7. O Framework CLG-R em Quatro Níveis Estruturais</w:t>
      </w:r>
    </w:p>
    <w:p>
      <w:r>
        <w:rPr>
          <w:rFonts w:ascii="Calibri" w:hAnsi="Calibri"/>
          <w:sz w:val="22"/>
        </w:rPr>
        <w:t>Acolhemos a formulação em quatro níveis sugerida por Vossa Senhoria, que formaliza a separação entre geometria estática e convergência assintótica:</w:t>
      </w:r>
    </w:p>
    <w:p>
      <w:r>
        <w:rPr>
          <w:rFonts w:ascii="Calibri" w:hAnsi="Calibri"/>
          <w:sz w:val="22"/>
        </w:rPr>
        <w:t>$$\Phi \;\longrightarrow\; \mathcal{C}_{\text{spur}}(\Phi) \;\longrightarrow\; \mathcal{S}_{\text{spur}}(\Phi) \;\longrightarrow\; \mathcal{B}_{\text{spur}}(\Phi) \;\longrightarrow\; \mathcal{M}_{\text{spur}}(\Phi)$$</w:t>
      </w:r>
    </w:p>
    <w:p>
      <w:r>
        <w:rPr>
          <w:rFonts w:ascii="Calibri" w:hAnsi="Calibri"/>
          <w:sz w:val="22"/>
        </w:rPr>
        <w:t>1. **Nível 1 — Geometria Estática do Conjunto Crítico:**</w:t>
      </w:r>
    </w:p>
    <w:p>
      <w:r>
        <w:rPr>
          <w:rFonts w:ascii="Calibri" w:hAnsi="Calibri"/>
          <w:sz w:val="22"/>
        </w:rPr>
        <w:t>$$\mathcal{C}_{\text{spur}}(\Phi) \equiv \{ x \in \mathcal{X} \mid \nabla \Phi(x) = \mathbf{0}, E_{\text{disc}}(\text{sign}(x)) &gt; 0 \}$$</w:t>
      </w:r>
    </w:p>
    <w:p>
      <w:r>
        <w:rPr>
          <w:rFonts w:ascii="Calibri" w:hAnsi="Calibri"/>
          <w:sz w:val="22"/>
        </w:rPr>
        <w:t>2. **Nível 2 — Estabilidade Local (Equilíbrios Estratificados Estáveis):**</w:t>
      </w:r>
    </w:p>
    <w:p>
      <w:r>
        <w:rPr>
          <w:rFonts w:ascii="Calibri" w:hAnsi="Calibri"/>
          <w:sz w:val="22"/>
        </w:rPr>
        <w:t>$$\mathcal{S}_{\text{spur}}(\Phi) \equiv \{ x^* \in \mathcal{X} \mid x^* \text{ é atrator local estável do fluxo projetado, } E_{\text{disc}}(\text{sign}(x^*)) &gt; 0 \}$$</w:t>
      </w:r>
    </w:p>
    <w:p>
      <w:r>
        <w:rPr>
          <w:rFonts w:ascii="Calibri" w:hAnsi="Calibri"/>
          <w:sz w:val="22"/>
        </w:rPr>
        <w:t>3. **Nível 3 — Bacias de Atração:**</w:t>
      </w:r>
    </w:p>
    <w:p>
      <w:r>
        <w:rPr>
          <w:rFonts w:ascii="Calibri" w:hAnsi="Calibri"/>
          <w:sz w:val="22"/>
        </w:rPr>
        <w:t>$$\mathcal{B}_{\text{spur}}(\Phi, \mathcal{D}) \equiv \{ x_0 \in \mathcal{X} \mid \omega(x_0; \mathcal{D}) \subseteq \mathcal{S}_{\text{spur}}(\Phi) \}$$</w:t>
      </w:r>
    </w:p>
    <w:p>
      <w:r>
        <w:rPr>
          <w:rFonts w:ascii="Calibri" w:hAnsi="Calibri"/>
          <w:sz w:val="22"/>
        </w:rPr>
        <w:t>4. **Nível 4 — Massa Dinâmica Espúria:**</w:t>
      </w:r>
    </w:p>
    <w:p>
      <w:r>
        <w:rPr>
          <w:rFonts w:ascii="Calibri" w:hAnsi="Calibri"/>
          <w:sz w:val="22"/>
        </w:rPr>
        <w:t>$$\mathcal{M}_{\text{spur}}(\Phi, \mathcal{D}) \equiv \mu(\mathcal{B}_{\text{spur}}(\Phi, \mathcal{D}))$$</w:t>
      </w:r>
    </w:p>
    <w:p>
      <w:r>
        <w:rPr>
          <w:rFonts w:ascii="Calibri" w:hAnsi="Calibri"/>
          <w:sz w:val="22"/>
        </w:rPr>
        <w:t>Isso elucida a aparente contradição: **o Teorema 2 prova $\mu(\mathcal{C}_{\text{spur}}) = 0$, enquanto a Massa Dinâmica $\mathcal{M}_{\text{spur}}$ pode ser estritamente positiva**, pois atratores de dimensão zero (vértices ou variedades estáveis) possuem bacias de atração de dimensão cheia ($\mu(\mathcal{B}_{\text{spur}}) &gt; 0$).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8. Proposta do Teorema de Separação Dinâmica CLG-R</w:t>
      </w:r>
    </w:p>
    <w:p>
      <w:r>
        <w:rPr>
          <w:rFonts w:ascii="Calibri" w:hAnsi="Calibri"/>
          <w:sz w:val="22"/>
        </w:rPr>
        <w:t>Conforme orientado, formulamos o teorema comparativo assintótico entre duas representações booleanamente equivalentes $\Phi_{\text{quad}}$ e $\Phi_{\text{mult}}$ sob a dinâmica de gradiente projetado $\mathcal{D}_{\text{proj}}$:</w:t>
      </w:r>
    </w:p>
    <w:p>
      <w:r>
        <w:rPr>
          <w:rFonts w:ascii="Calibri" w:hAnsi="Calibri"/>
          <w:sz w:val="22"/>
        </w:rPr>
        <w:t>$$\liminf_{N \to \infty} \left[ \mathcal{M}_{\text{spur}}(\Phi_{\text{quad}}, \mathcal{D}_{\text{proj}}) - \mathcal{M}_{\text{spur}}(\Phi_{\text{mult}}, \mathcal{D}_{\text{proj}}) \right] \ge c &gt; 0$$</w:t>
      </w:r>
    </w:p>
    <w:p>
      <w:r>
        <w:rPr>
          <w:rFonts w:ascii="Calibri" w:hAnsi="Calibri"/>
          <w:sz w:val="22"/>
        </w:rPr>
        <w:t>Como $\Phi_{\text{quad}}$ possui o platô central $\mathcal{U}_N$ com campo de deriva atrator $\mathbb{E}[-\nabla \Phi_{\text{quad}}] \approx -\kappa x$, enquanto $\Phi_{\text{mult}}$ é repulsora no centro ($\Delta \Phi_{\text{mult}} \equiv 0$), a acessibilidade algorítmica é intrinsecamente distinta para a mesma instância combinatória.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Conclusão e Próximos Passos</w:t>
      </w:r>
    </w:p>
    <w:p>
      <w:r>
        <w:rPr>
          <w:rFonts w:ascii="Calibri" w:hAnsi="Calibri"/>
          <w:sz w:val="22"/>
        </w:rPr>
        <w:t>Os manuscritos e demonstrações no repositório GitHub já foram atualizados com a **Versão 2.0** dos Teoremas:</w:t>
      </w:r>
    </w:p>
    <w:p>
      <w:r>
        <w:rPr>
          <w:rFonts w:ascii="Calibri" w:hAnsi="Calibri"/>
          <w:sz w:val="22"/>
        </w:rPr>
        <w:t>- [ESTUDO_ANALITICO_DO_CONJUNTO_CRITICO.md](file:///C:/MathDoCarvalho/P_NP/Publicacoes/ESTUDO_ANALITICO_DO_CONJUNTO_CRITICO.md)</w:t>
      </w:r>
    </w:p>
    <w:p>
      <w:r>
        <w:rPr>
          <w:rFonts w:ascii="Calibri" w:hAnsi="Calibri"/>
          <w:sz w:val="22"/>
        </w:rPr>
        <w:t>- [CLG_FOUNDATIONS_ARXIV.tex](file:///C:/MathDoCarvalho/P_NP/Publicacoes/CLG_FOUNDATIONS_ARXIV.tex)</w:t>
      </w:r>
    </w:p>
    <w:p>
      <w:r>
        <w:rPr>
          <w:rFonts w:ascii="Calibri" w:hAnsi="Calibri"/>
          <w:sz w:val="22"/>
        </w:rPr>
        <w:t>- [CLG_FOUNDATIONS.md](file:///C:/MathDoCarvalho/P_NP/Publicacoes/CLG_FOUNDATIONS.md)</w:t>
      </w:r>
    </w:p>
    <w:p>
      <w:r>
        <w:rPr>
          <w:rFonts w:ascii="Calibri" w:hAnsi="Calibri"/>
          <w:sz w:val="22"/>
        </w:rPr>
        <w:t>Reiteramos nosso compromisso com o rigor absoluto e colocamo-nos à disposição para aprofundar qualquer detalhe analítico.</w:t>
      </w:r>
    </w:p>
    <w:p>
      <w:r>
        <w:rPr>
          <w:rFonts w:ascii="Calibri" w:hAnsi="Calibri"/>
          <w:sz w:val="22"/>
        </w:rPr>
        <w:t>Respeitosamente,</w:t>
      </w:r>
    </w:p>
    <w:p>
      <w:r>
        <w:rPr>
          <w:rFonts w:ascii="Calibri" w:hAnsi="Calibri"/>
          <w:sz w:val="22"/>
        </w:rPr>
        <w:t>**Thiago Carvalho**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