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alibri" w:hAnsi="Calibri"/>
          <w:b/>
          <w:color w:val="1B365D"/>
          <w:sz w:val="32"/>
        </w:rPr>
        <w:t>Framework CLG-R — Mensagem ao Avaliador (Parecer nº 19)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Prezado Professor,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Agradecemos profundamente pela auditoria independente e minuciosa realizada sobre o pacote Enviar_18.zip e pelo envio do Parecer nº 19. A sua análise cirúrgica identificou com precisão dois pontos matemáticos essenciais que ainda careciam de retificação formal, além de prescrever ajustes editoriais cruciais para blindar o artigo contra qualquer alegação de sobrepromessa (overclaiming).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Acolhemos integralmente todas as recomendações de Vossa Senhoria e implementamos as seguintes ações no manuscrito arXiv, na monografia analítica e na suíte de testes: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1. Proposição 7A — Expurgamento Completo do Item 2 (Contraexemplo N=4):</w:t>
        <w:br/>
        <w:t xml:space="preserve">   Removemos integralmente da Proposição 7A a afirmação de que o fluxo do Hinge preserva coordenadas positivas no ortante A_N = (1/3, 1)^N e atrai 100% das trajetórias para o arredondamento (+1, ..., +1). Reconhecemos e reproduzimos o seu contraexemplo numérico exato: para N=4 com x_0 = (0.334, 1, 1, 1), a integração do gradiente do Hinge conduz a x* ≈ (-0.004, 1/3, 1/3, 1/3), demonstrando que a coordenada x_1 cruza para o semi-espaço negativo. A Proposição 7A agora restringe-se estritamente ao resultado demonstrado: a derivação analítica de J_{ij}(x) &lt;= 0 (sistema competitivo, fracamente inibitório, com entradas não-positivas fora da diagonal) e a decorrente suspensão dos teoremas de cooperatividade monótona de Hirsch. A dinâmica global em F_N permanece formalmente em aberto sob re-auditoria.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2. Teorema 7B — Formulação de LaSalle como Distância ao Conjunto (dist(x(t), Z) -&gt; 0):</w:t>
        <w:br/>
        <w:t xml:space="preserve">   Refinamos o enunciado e a demonstração do Teorema 7B para explicitar que o conjunto limite de LaSalle é o politopo Z sob a métrica de distância a conjuntos: lim_{t -&gt; infty} dist(x(t), Z) = 0. Isso afasta formalmente qualquer inferência indevida de convergência pontual x(t) -&gt; x* em variedades contínuas de equilíbrios. Explicitamos também que o operador Pi_{T_X(x)} é o operador de projeção ortogonal no cone tangente.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3. Teorema 8 — Convexidade de Jensen para M &gt;= 1:</w:t>
        <w:br/>
        <w:t xml:space="preserve">   Substituímos a condição "estritamente convexa para M &gt;= 2" por "convexa para M = floor(alpha N) &gt;= 1", aplicando estritamente a desigualdade de Jensen no intervalo [0, 1].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4. Título do Artigo — Eliminação de "Rigorous Dynamic Separations":</w:t>
        <w:br/>
        <w:t xml:space="preserve">   Retificamos o título oficial do manuscrito arXiv para:</w:t>
        <w:br/>
        <w:t xml:space="preserve">   "Computational Landscape Geometry and Representation (CLG-R v4.0.2): Rigorous Structural Results and Open Dynamical Problems for Continuous 3-SAT Relaxations"</w:t>
        <w:br/>
        <w:t xml:space="preserve">   eliminando a promessa prematura de separação dinâmica global e alinhando o título perfeitamente com os teoremas fechados e problemas em aberto.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5. Conclusão do Artigo — Suavização Epistemológica:</w:t>
        <w:br/>
        <w:t xml:space="preserve">   Substituímos a frase "explain why continuous relaxations exhibit divergent algorithmic accessibility" pela redação recomendada: "provide a rigorous framework for studying divergent dynamical accessibility while strictly adhering to computational complexity barriers".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6. Condicionalidade de H_{leaf} e Arestas d=1:</w:t>
        <w:br/>
        <w:t xml:space="preserve">   Preservamos de forma destacada a hipótese estrutural H_{leaf} nos Lemas 10.1, 10.2 e Teorema 10, mantendo a distinção rigorosa nas arestas d=1 (a != 0 sem críticos interiores; a = 0 variedade degenerada flat imune à evasão de selas estritas).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7. Suíte Automatizada de Testes (test_parecer19_auditoria.py):</w:t>
        <w:br/>
        <w:t xml:space="preserve">   Implementamos teste numérico automatizado reproduzindo o contraexemplo do Professor para N=4, bem como checagens de consistência formal de todos os textos, aprovados com 100% de sucesso.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8. Bibliografia e Arquivo BBL Pré-compilado para o arXiv:</w:t>
        <w:br/>
        <w:t xml:space="preserve">   Sanamos em definitivo o bloqueador de compilação bibliográfica: incluímos clg_references.bib e geramos o arquivo CLG_FOUNDATIONS_ARXIV.bbl (formatado estritamente no padrão BibTeX plain para as 26 referências citadas). Ambos foram incorporados tanto ao pacote interno arxiv_package.zip quanto à raiz do pacote consolidado Enviar_19.zip, garantindo compilação direta e sem dependência de passos adicionais nos servidores automatizados do arXiv.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Seguem anexos no pacote consolidado Enviar_19.zip: a transcrição do Parecer nº 19, a Resposta Técnica Detalhada (MD e DOCX), a presente Mensagem (TXT e DOCX), o manuscrito CLG_FOUNDATIONS_ARXIV.tex revisado, a monografia analítica ESTUDO_ANALITICO_DO_CONJUNTO_CRITICO.md, a suíte de testes, os arquivos bibliográficos (clg_references.bib e CLG_FOUNDATIONS_ARXIV.bbl) e o arquivo compilável arxiv_package.zip.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Agradecemos imensamente por guiar este trabalho até seu estado mais sólido, rigoroso e defensável.</w:t>
      </w:r>
    </w:p>
    <w:p>
      <w:pPr>
        <w:spacing w:after="160" w:line="276" w:lineRule="auto"/>
      </w:pPr>
      <w:r>
        <w:rPr>
          <w:rFonts w:ascii="Calibri" w:hAnsi="Calibri"/>
          <w:color w:val="222222"/>
          <w:sz w:val="22"/>
        </w:rPr>
        <w:t>Respeitosamente,</w:t>
        <w:br/>
        <w:t>Thiago Carvalho</w:t>
        <w:br/>
        <w:t>Pesquisador Principal — Framework CLG-R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