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160" w:before="0"/>
        <w:ind/>
        <w:jc w:val="center"/>
        <w:rPr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:u w:val="single"/>
          <w:lang w:val="es-AR"/>
        </w:rPr>
        <w:t xml:space="preserve">Seguridad y Respaldo</w:t>
      </w:r>
      <w:r>
        <w:rPr>
          <w:b/>
          <w:bCs/>
          <w:color w:val="000000" w:themeColor="text1"/>
          <w:sz w:val="24"/>
          <w:szCs w:val="24"/>
          <w:u w:val="single"/>
        </w:rPr>
      </w:r>
      <w:r>
        <w:rPr>
          <w:b/>
          <w:bCs/>
          <w:color w:val="000000" w:themeColor="text1"/>
          <w:sz w:val="24"/>
          <w:szCs w:val="24"/>
          <w:u w:val="single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es-AR" w:bidi="es-AR"/>
        </w:rPr>
      </w:sdtPr>
      <w:sdtContent>
        <w:p>
          <w:pPr>
            <w:pStyle w:val="881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>
            <w:rPr>
              <w:color w:val="000000" w:themeColor="text1"/>
              <w:u w:val="none"/>
              <w:lang w:val="es-AR" w:bidi="es-AR"/>
            </w:rPr>
          </w:r>
          <w:r>
            <w:rPr>
              <w:color w:val="000000" w:themeColor="text1"/>
              <w:u w:val="none"/>
            </w:rPr>
            <w:fldChar w:fldCharType="begin"/>
            <w:instrText xml:space="preserve">TOC \o "1-9" \h </w:instrText>
          </w:r>
          <w:r>
            <w:rPr>
              <w:color w:val="000000" w:themeColor="text1"/>
              <w:u w:val="none"/>
            </w:rPr>
            <w:fldChar w:fldCharType="separate"/>
          </w:r>
          <w:r>
            <w:rPr>
              <w:color w:val="000000" w:themeColor="text1"/>
              <w:u w:val="none"/>
            </w:rPr>
          </w:r>
          <w:hyperlink w:tooltip="#_Toc5" w:anchor="_Toc5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1. Identificacion de Datos Sensibles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1"/>
            <w:pBdr/>
            <w:tabs>
              <w:tab w:val="right" w:leader="dot" w:pos="9638"/>
            </w:tabs>
            <w:spacing/>
            <w:ind/>
            <w:rPr>
              <w:color w:val="000000" w:themeColor="text1"/>
              <w:highlight w:val="none"/>
            </w:rPr>
          </w:pPr>
          <w:r/>
          <w:hyperlink w:tooltip="#_Toc6" w:anchor="_Toc6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2. Estrategia de Cifrado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color w:val="000000" w:themeColor="text1"/>
              <w:highlight w:val="none"/>
              <w:lang w:val="es-AR"/>
            </w:rPr>
          </w:r>
          <w:r>
            <w:rPr>
              <w:color w:val="000000" w:themeColor="text1"/>
              <w:highlight w:val="none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7" w:anchor="_Toc7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2.1 Transparent Data Encryption (TDE)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_Toc7 \h</w:instrText>
              <w:fldChar w:fldCharType="separate"/>
              <w:t xml:space="preserve">2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8" w:anchor="_Toc8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2.2 Cifrado de columnas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_Toc8 \h</w:instrText>
              <w:fldChar w:fldCharType="separate"/>
              <w:t xml:space="preserve">2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9" w:anchor="_Toc9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2.3 Acceso a datos cifrados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_Toc9 \h</w:instrText>
              <w:fldChar w:fldCharType="separate"/>
              <w:t xml:space="preserve">2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1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0" w:anchor="_Toc10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3. Roles de Seguridad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1" w:anchor="_Toc11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3.1 Principios aplicados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_Toc11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1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2" w:anchor="_Toc12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 Politica de Respaldo (Backup)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_Toc12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3" w:anchor="_Toc13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4.1 Modelo de recuperacion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_Toc13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4" w:anchor="_Toc14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4.2 Esquema de backups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_Toc14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5" w:anchor="_Toc15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4.3 Objetivos de recuperacion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_Toc15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6" w:anchor="_Toc16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4.4 Almacenamiento y retencion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_Toc16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7" w:anchor="_Toc17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4.5 Script de backup en T-SQL 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_Toc17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8" w:anchor="_Toc18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4.6 Restauracion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_Toc18 \h</w:instrText>
              <w:fldChar w:fldCharType="separate"/>
              <w:t xml:space="preserve">5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2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19" w:anchor="_Toc19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4.7 Monitoreo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_Toc19 \h</w:instrText>
              <w:fldChar w:fldCharType="separate"/>
              <w:t xml:space="preserve">5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Style w:val="881"/>
            <w:pBdr/>
            <w:tabs>
              <w:tab w:val="right" w:leader="dot" w:pos="9638"/>
            </w:tabs>
            <w:spacing/>
            <w:ind/>
            <w:rPr>
              <w:color w:val="000000" w:themeColor="text1"/>
            </w:rPr>
          </w:pPr>
          <w:r/>
          <w:hyperlink w:tooltip="#_Toc20" w:anchor="_Toc20" w:history="1">
            <w:r>
              <w:rPr>
                <w:rStyle w:val="900"/>
                <w:color w:val="000000" w:themeColor="text1"/>
              </w:rPr>
            </w:r>
            <w:r>
              <w:rPr>
                <w:rStyle w:val="900"/>
                <w:rFonts w:ascii="Arial" w:hAnsi="Arial" w:eastAsia="Arial" w:cs="Arial"/>
                <w:color w:val="000000" w:themeColor="text1"/>
                <w:lang w:val="es-AR"/>
              </w:rPr>
              <w:t xml:space="preserve">5. Checklist de Verificacion</w:t>
            </w:r>
            <w:r>
              <w:rPr>
                <w:rStyle w:val="900"/>
                <w:color w:val="000000" w:themeColor="text1"/>
                <w:lang w:val="es-AR"/>
              </w:rPr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  <w:instrText xml:space="preserve">PAGEREF _Toc20 \h</w:instrText>
              <w:fldChar w:fldCharType="separate"/>
              <w:t xml:space="preserve">5</w:t>
              <w:fldChar w:fldCharType="end"/>
            </w:r>
          </w:hyperlink>
          <w:r>
            <w:rPr>
              <w:color w:val="000000" w:themeColor="text1"/>
              <w:lang w:val="es-AR"/>
            </w:rPr>
          </w:r>
          <w:r>
            <w:rPr>
              <w:color w:val="000000" w:themeColor="text1"/>
            </w:rPr>
          </w:r>
        </w:p>
        <w:p>
          <w:pPr>
            <w:pBdr/>
            <w:spacing/>
            <w:ind/>
            <w:rPr>
              <w:color w:val="000000" w:themeColor="text1"/>
              <w:u w:val="none"/>
            </w:rPr>
          </w:pPr>
          <w:r>
            <w:rPr>
              <w:color w:val="000000" w:themeColor="text1"/>
              <w:u w:val="none"/>
            </w:rPr>
          </w:r>
          <w:r>
            <w:rPr>
              <w:color w:val="000000" w:themeColor="text1"/>
              <w:u w:val="none"/>
            </w:rPr>
            <w:fldChar w:fldCharType="end"/>
          </w:r>
          <w:r>
            <w:rPr>
              <w:color w:val="000000" w:themeColor="text1"/>
            </w:rPr>
          </w:r>
          <w:r>
            <w:rPr>
              <w:color w:val="000000" w:themeColor="text1"/>
              <w:u w:val="none"/>
            </w:rPr>
          </w:r>
        </w:p>
      </w:sdtContent>
    </w:sdt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hd w:val="nil" w:color="auto"/>
        <w:spacing/>
        <w:ind/>
        <w:rPr>
          <w:lang w:val="es-AR"/>
        </w:rPr>
      </w:pPr>
      <w:r>
        <w:rPr>
          <w:lang w:val="es-AR"/>
        </w:rPr>
        <w:br w:type="page" w:clear="all"/>
      </w:r>
      <w:r>
        <w:rPr>
          <w:lang w:val="es-AR"/>
        </w:rPr>
      </w:r>
      <w:r>
        <w:rPr>
          <w:lang w:val="es-AR"/>
        </w:rPr>
      </w:r>
    </w:p>
    <w:p>
      <w:pPr>
        <w:pStyle w:val="907"/>
        <w:pBdr/>
        <w:spacing w:after="160" w:before="320"/>
        <w:ind/>
        <w:rPr>
          <w:lang w:val="es-AR"/>
        </w:rPr>
      </w:pPr>
      <w:r/>
      <w:bookmarkStart w:id="5" w:name="_Toc5"/>
      <w:r>
        <w:rPr>
          <w:rFonts w:ascii="Arial" w:hAnsi="Arial" w:eastAsia="Arial" w:cs="Arial"/>
          <w:b/>
          <w:bCs/>
          <w:color w:val="1f3864"/>
          <w:sz w:val="32"/>
          <w:szCs w:val="32"/>
          <w:lang w:val="es-AR"/>
        </w:rPr>
        <w:t xml:space="preserve">1. Identificacion de Datos Sensibles</w:t>
      </w:r>
      <w:r>
        <w:rPr>
          <w:lang w:val="es-AR"/>
        </w:rPr>
      </w:r>
      <w:bookmarkEnd w:id="5"/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Se relevaron los datos del sistema y se identificaron las siguientes columnas como sensibles, de acuerdo con la normativa de proteccion de datos personales y buenas practicas de seguridad: 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Tabla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Columna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Justificacion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Persona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DNI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Identificacion personal unica. Protegido por Ley 25.326 (PDPA Argentina).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Persona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Telefono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Dato de contacto personal. Sujeto a confidencialidad.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Guia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NumeroHabilitacion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Numero de registro profesional habilitante. Dato sensible laboral.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Historial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RazonEgreso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Informacion laboral de indole personal. Puede contener causas disciplinarias o medicas.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</w:tbl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Columnas NO cifradas: NombrePersona, Apellido, Rol, Titulo del Guia, fechas de habilitacion, datos de parques, actividades, horarios.</w:t>
      </w:r>
      <w:r>
        <w:rPr>
          <w:lang w:val="es-AR"/>
        </w:rPr>
      </w:r>
      <w:r>
        <w:rPr>
          <w:lang w:val="es-AR"/>
        </w:rPr>
      </w:r>
    </w:p>
    <w:p>
      <w:pPr>
        <w:pStyle w:val="907"/>
        <w:pBdr/>
        <w:spacing w:after="160" w:before="320"/>
        <w:ind/>
        <w:rPr>
          <w:lang w:val="es-AR"/>
        </w:rPr>
      </w:pPr>
      <w:r>
        <w:rPr>
          <w:highlight w:val="none"/>
          <w:lang w:val="es-AR"/>
        </w:rPr>
      </w:r>
      <w:r>
        <w:rPr>
          <w:highlight w:val="none"/>
          <w:lang w:val="es-AR"/>
        </w:rPr>
      </w:r>
      <w:r>
        <w:rPr>
          <w:lang w:val="es-AR"/>
        </w:rPr>
      </w:r>
    </w:p>
    <w:p>
      <w:pPr>
        <w:pStyle w:val="907"/>
        <w:pBdr/>
        <w:spacing w:after="160" w:before="320"/>
        <w:ind/>
        <w:rPr>
          <w:highlight w:val="none"/>
          <w:lang w:val="es-AR"/>
        </w:rPr>
      </w:pPr>
      <w:r/>
      <w:bookmarkStart w:id="6" w:name="_Toc6"/>
      <w:r>
        <w:rPr>
          <w:rFonts w:ascii="Arial" w:hAnsi="Arial" w:eastAsia="Arial" w:cs="Arial"/>
          <w:b/>
          <w:bCs/>
          <w:color w:val="1f3864"/>
          <w:sz w:val="32"/>
          <w:szCs w:val="32"/>
          <w:lang w:val="es-AR"/>
        </w:rPr>
        <w:t xml:space="preserve">2. Estrategia de Cifrado</w:t>
      </w:r>
      <w:r>
        <w:rPr>
          <w:lang w:val="es-AR"/>
        </w:rPr>
      </w:r>
      <w:bookmarkEnd w:id="6"/>
      <w:r>
        <w:rPr>
          <w:lang w:val="es-AR"/>
        </w:rPr>
      </w:r>
      <w:r>
        <w:rPr>
          <w:highlight w:val="none"/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7" w:name="_Toc7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2.1 Transparent Data Encryption (TDE)</w:t>
      </w:r>
      <w:r>
        <w:rPr>
          <w:lang w:val="es-AR"/>
        </w:rPr>
      </w:r>
      <w:bookmarkEnd w:id="7"/>
      <w:r>
        <w:rPr>
          <w:lang w:val="es-AR"/>
        </w:rPr>
      </w:r>
      <w:r>
        <w:rPr>
          <w:lang w:val="es-AR"/>
        </w:rPr>
      </w:r>
    </w:p>
    <w:p>
      <w:pPr>
        <w:pBdr/>
        <w:spacing w:after="60" w:before="60"/>
        <w:ind w:firstLine="0" w:left="0"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</w:r>
      <w:r>
        <w:rPr>
          <w:rFonts w:ascii="Arial" w:hAnsi="Arial" w:eastAsia="Arial" w:cs="Arial"/>
          <w:sz w:val="20"/>
          <w:szCs w:val="20"/>
          <w:lang w:val="es-AR"/>
        </w:rPr>
        <w:t xml:space="preserve">Se evaluó originalmente la implementación de TDE para el cifrado de los archivos de datos (.mdf) y log (.ldf) en reposo. Sin embargo, debido a las limitaciones de la edición del motor utilizada (SQL Server Express Edition), la cual no soporta esta funcional</w:t>
      </w:r>
      <w:r>
        <w:rPr>
          <w:rFonts w:ascii="Arial" w:hAnsi="Arial" w:eastAsia="Arial" w:cs="Arial"/>
          <w:sz w:val="20"/>
          <w:szCs w:val="20"/>
          <w:lang w:val="es-AR"/>
        </w:rPr>
        <w:t xml:space="preserve">idad, se optó por descartar esta medida en favor de reforzar el cifrado a nivel de columna.</w:t>
      </w:r>
      <w:r>
        <w:rPr>
          <w:rFonts w:ascii="Arial" w:hAnsi="Arial" w:eastAsia="Arial" w:cs="Arial"/>
          <w:sz w:val="20"/>
          <w:szCs w:val="20"/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8" w:name="_Toc8"/>
      <w:r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2.2 Cifrado de columnas</w:t>
      </w:r>
      <w:r>
        <w:rPr>
          <w:lang w:val="es-AR"/>
        </w:rPr>
      </w:r>
      <w:bookmarkEnd w:id="8"/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Llas columnas ident</w:t>
      </w:r>
      <w:r>
        <w:rPr>
          <w:rFonts w:ascii="Arial" w:hAnsi="Arial" w:eastAsia="Arial" w:cs="Arial"/>
          <w:sz w:val="20"/>
          <w:szCs w:val="20"/>
          <w:lang w:val="es-AR"/>
        </w:rPr>
        <w:t xml:space="preserve">ificadas como sensibles se cifran individualmente con clave simetrica AES-256. Esto garantiza que incluso un DBA con acceso al servidor no pueda leer esos datos sin la clave, y que en backups restaurados en otro servidor los datos permanezcan inaccesibles.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5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Las columnas originales son eliminadas del esquema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5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Las columnas cifradas son de tipo VARBINARY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5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Se agrega una columna HashDNI (SHA-256) para detectar duplicados sin descifrar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9" w:name="_Toc9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2.3 Acceso a datos cifrados</w:t>
      </w:r>
      <w:r>
        <w:rPr>
          <w:lang w:val="es-AR"/>
        </w:rPr>
      </w:r>
      <w:bookmarkEnd w:id="9"/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Los datos cifrados solo son accesibles a traves de SPs especificos que abren la clave simetrica, leen o escriben el dato, y cierran la clave. Ningun rol de aplicacion puede ejecutar OPEN SYMMETRIC KEY directamente, pn_admin y pn_auditoria si pueden.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4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altaPersona: cifra DNI y Telefono al insertar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4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consultarPersona: descifra y retorna DNI y Telefono para roles autorizados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4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altaGuia: cifra NumeroHabilitacion al insertar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4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altaHistorial: cifra RazonEgreso al insertar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4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consultarHistorial: descifra RazonEgreso para auditoria</w:t>
      </w:r>
      <w:r>
        <w:rPr>
          <w:lang w:val="es-AR"/>
        </w:rPr>
        <w:t xml:space="preserve">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7"/>
        <w:pBdr/>
        <w:spacing w:after="160" w:before="320"/>
        <w:ind/>
        <w:rPr>
          <w:lang w:val="es-AR"/>
        </w:rPr>
      </w:pPr>
      <w:r/>
      <w:bookmarkStart w:id="10" w:name="_Toc10"/>
      <w:r>
        <w:rPr>
          <w:rFonts w:ascii="Arial" w:hAnsi="Arial" w:eastAsia="Arial" w:cs="Arial"/>
          <w:b/>
          <w:bCs/>
          <w:color w:val="1f3864"/>
          <w:sz w:val="32"/>
          <w:szCs w:val="32"/>
          <w:lang w:val="es-AR"/>
        </w:rPr>
        <w:t xml:space="preserve">3. Roles de Seguridad</w:t>
      </w:r>
      <w:r>
        <w:rPr>
          <w:lang w:val="es-AR"/>
        </w:rPr>
      </w:r>
      <w:bookmarkEnd w:id="10"/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highlight w:val="none"/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Se implementa un esquema de minimo privilegio: ningun rol tiene acceso directo a las tablas del schema PnTablas salvo pn_admin y pn_auditoria. Toda operacion de datos pasa por SPs.</w:t>
      </w:r>
      <w:r>
        <w:rPr>
          <w:lang w:val="es-AR"/>
        </w:rPr>
      </w:r>
      <w:r>
        <w:rPr>
          <w:highlight w:val="none"/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highlight w:val="none"/>
          <w:lang w:val="es-AR" w:bidi="es-AR"/>
        </w:rPr>
      </w:r>
      <w:r>
        <w:rPr>
          <w:highlight w:val="none"/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1500"/>
        <w:gridCol w:w="1600"/>
        <w:gridCol w:w="2300"/>
        <w:gridCol w:w="1460"/>
        <w:gridCol w:w="1300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Rol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Descripcion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Schemas con EXECUTE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Acceso a Tablas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Cifrado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Backup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pn_admin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Administrador total del sistema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PnSPabm, PnSPtrans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PnTablas 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Control total (clave y certificado)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BACKUP DATABASE / LOG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5f5f5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pn_operador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Operacion ABM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PnSPabm, PnSPtrans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acceso directo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acceso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permiso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pn_importador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Importacion masiva de datos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PnSPtrans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Parque, Provincia, TipoParque, TipoActividad, Actividad (SELECT)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acceso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permiso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5f5f5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pn_consultas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Reportes y consultas de solo lectura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PnSPtrans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Tablas no sensibles (Parque, Actividad, Horarios, etc.)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acceso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permiso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pn_auditoria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Auditoria integral con datos descifrados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PnSPabm (consultarPersona, consultarHistorial)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SELECT en todo PnTablas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Control (clave y certificado) — solo lectura descifrada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Sin permiso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</w:tbl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1" w:name="_Toc11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3.1 Principios aplicados</w:t>
      </w:r>
      <w:r>
        <w:rPr>
          <w:lang w:val="es-AR"/>
        </w:rPr>
      </w:r>
      <w:bookmarkEnd w:id="11"/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6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Minimo privilegio: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cada rol recibe unicamente los permisos indispensables para su funcion.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6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Separacion de responsabilidades: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quien importa datos no puede modificar configuracion; quien audita no puede modificar datos.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6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Sin acceso directo a tablas: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los roles operativos solo ejecutan SPs, nunca consultan ni modifican tablas directamente.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6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Denegacion en columnas cifradas: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pn_consultas tiene DENY sobre DNI_Cifrado y Telefono_Cifrado aunque tenga SELECT sobre la tabla Persona.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60" w:before="60"/>
        <w:ind w:firstLine="0" w:left="720"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7"/>
        <w:pBdr/>
        <w:spacing w:after="160" w:before="320"/>
        <w:ind/>
        <w:rPr>
          <w:lang w:val="es-AR"/>
        </w:rPr>
      </w:pPr>
      <w:r/>
      <w:bookmarkStart w:id="12" w:name="_Toc12"/>
      <w:r>
        <w:rPr>
          <w:rFonts w:ascii="Arial" w:hAnsi="Arial" w:eastAsia="Arial" w:cs="Arial"/>
          <w:b/>
          <w:bCs/>
          <w:color w:val="1f3864"/>
          <w:sz w:val="32"/>
          <w:szCs w:val="32"/>
          <w:lang w:val="es-AR"/>
        </w:rPr>
        <w:t xml:space="preserve">4. Politica de Respaldo (Backup)</w:t>
      </w:r>
      <w:r>
        <w:rPr>
          <w:lang w:val="es-AR"/>
        </w:rPr>
      </w:r>
      <w:bookmarkEnd w:id="12"/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3" w:name="_Toc13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4.1 Modelo de recuperacion</w:t>
      </w:r>
      <w:r>
        <w:rPr>
          <w:lang w:val="es-AR"/>
        </w:rPr>
      </w:r>
      <w:bookmarkEnd w:id="13"/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La base de datos se configura en modo de recuperacion FULL (FULL RECOVERY MODEL). Esto para realizar backups de log de transacciones, lo que minimiza la ventana de perdida de datos.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4" w:name="_Toc14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4.2 Esquema de backups</w:t>
      </w:r>
      <w:r>
        <w:rPr>
          <w:lang w:val="es-AR"/>
        </w:rPr>
      </w:r>
      <w:bookmarkEnd w:id="14"/>
      <w:r>
        <w:rPr>
          <w:lang w:val="es-AR"/>
        </w:rPr>
      </w:r>
      <w:r>
        <w:rPr>
          <w:lang w:val="es-A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1600"/>
        <w:gridCol w:w="1500"/>
        <w:gridCol w:w="2000"/>
        <w:gridCol w:w="2460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Tipo de Backup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Frecuencia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Retencion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Ventana de Ejecucion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Destino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Full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Semanal (Domingos)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4 semanas (4 copias)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-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Almacenamiento primario + offsite cifrado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Diferencial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Diario (Lun-Sab)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7 dias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-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Almacenamiento primario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Log (transaccional)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Cada 15 minutos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72 horas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Continuo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Almacenamiento primario + replicacion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Full (DR offsite)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Mensual (1er domingo)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12 meses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-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Almacenamiento offsite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</w:tbl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i/>
          <w:iCs/>
          <w:color w:val="595959"/>
          <w:sz w:val="19"/>
          <w:szCs w:val="19"/>
          <w:lang w:val="es-AR"/>
        </w:rPr>
        <w:t xml:space="preserve">(*) La hora de los backups full y diferencial conviene ejecutarlos durante el momento de menor actividad.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5" w:name="_Toc15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4.3 Objetivos de recuperacion</w:t>
      </w:r>
      <w:r>
        <w:rPr>
          <w:lang w:val="es-AR"/>
        </w:rPr>
      </w:r>
      <w:bookmarkEnd w:id="15"/>
      <w:r>
        <w:rPr>
          <w:lang w:val="es-AR"/>
        </w:rPr>
      </w:r>
      <w:r>
        <w:rPr>
          <w:lang w:val="es-A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992"/>
        <w:gridCol w:w="496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Objetivo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Valor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Fundamento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RPO (Recovery Point Objective)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15 min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Perdida maxima aceptable de 15 min de transacciones.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RTO (Recovery Time Objective)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2 hs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Tiempo maximo para restaurar el servicio en caso de falla critica.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s-AR"/>
              </w:rPr>
              <w:t xml:space="preserve">MTTR (Mean Time To Repair)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&lt; 1 hs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Objetivo de reparacion promedio para incidentes no criticos.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</w:tbl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6" w:name="_Toc16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4.4 Almacenamiento y retencion</w:t>
      </w:r>
      <w:r>
        <w:rPr>
          <w:lang w:val="es-AR"/>
        </w:rPr>
      </w:r>
      <w:bookmarkEnd w:id="16"/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7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Destino primario: </w:t>
      </w:r>
      <w:r>
        <w:rPr>
          <w:rFonts w:ascii="Arial" w:hAnsi="Arial" w:eastAsia="Arial" w:cs="Arial"/>
          <w:sz w:val="20"/>
          <w:szCs w:val="20"/>
          <w:lang w:val="es-AR"/>
        </w:rPr>
        <w:t xml:space="preserve">ruta local en servidor de base de datos.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7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Destino secundario: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unidad de red o NAS en otro segmento de red, copiado automaticamente post-backup.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7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Destino offsite: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copia mensual en almacenamiento geograificamente separado.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7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Cifrado de backups</w:t>
      </w:r>
      <w:r>
        <w:rPr>
          <w:rFonts w:ascii="Arial" w:hAnsi="Arial" w:eastAsia="Arial" w:cs="Arial"/>
          <w:sz w:val="20"/>
          <w:szCs w:val="20"/>
          <w:lang w:val="es-AR"/>
        </w:rPr>
        <w:t xml:space="preserve">: todos los archivos de backup se cifran con el mismo certificado de TDE.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7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b/>
          <w:bCs/>
          <w:sz w:val="20"/>
          <w:szCs w:val="20"/>
          <w:lang w:val="es-AR"/>
        </w:rPr>
        <w:t xml:space="preserve">Verificacion:</w:t>
      </w:r>
      <w:r>
        <w:rPr>
          <w:rFonts w:ascii="Arial" w:hAnsi="Arial" w:eastAsia="Arial" w:cs="Arial"/>
          <w:sz w:val="20"/>
          <w:szCs w:val="20"/>
          <w:lang w:val="es-AR"/>
        </w:rPr>
        <w:t xml:space="preserve"> RESTORE VERIFYONLY debe ejecutarse luego de cada backup full para confirmar integridad del archivo.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7" w:name="_Toc17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4.5 Script de backup en T-SQL </w:t>
      </w:r>
      <w:r>
        <w:rPr>
          <w:lang w:val="es-AR"/>
        </w:rPr>
      </w:r>
      <w:bookmarkEnd w:id="17"/>
      <w:r>
        <w:rPr>
          <w:lang w:val="es-AR"/>
        </w:rPr>
      </w:r>
      <w:r>
        <w:rPr>
          <w:lang w:val="es-AR"/>
        </w:rPr>
      </w:r>
    </w:p>
    <w:p>
      <w:pPr>
        <w:pBdr/>
        <w:spacing w:after="40" w:before="8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-- Backup FULL semanal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40" w:before="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BACKUP DATABASE ParquesNacionales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40" w:before="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  TO DISK = N'D:\Backups\PN_Full_' + CONVERT(VARCHAR,GETDATE(),112) + '.bak'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40" w:before="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  WITH COMPRESSION, ENCRYPTION (ALGORITHM = AES_256,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       SERVER CERTIFICATE = CertTDE_ParquesNacionales), STATS = 10;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40" w:before="8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-- Backup LOG cada 15 minutos</w:t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0"/>
        <w:ind/>
        <w:rPr>
          <w:lang w:val="es-AR"/>
        </w:rPr>
      </w:pPr>
      <w:r>
        <w:rPr>
          <w:rFonts w:ascii="Courier New" w:hAnsi="Courier New" w:eastAsia="Courier New" w:cs="Courier New"/>
          <w:color w:val="1a3a5c"/>
          <w:sz w:val="18"/>
          <w:szCs w:val="18"/>
          <w:lang w:val="es-AR"/>
        </w:rPr>
        <w:t xml:space="preserve">BACKUP LOG ParquesNacionales TO DISK = N'D:\Backups\PN_Log_' + CONVERT(VARCHAR,GETDATE(),112) + '_' + REPLACE(CONVERT(VARCHAR,GETDATE(),108),':','') + '.bak' WITH COMPRESSION;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8" w:name="_Toc18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4.6 Restauracion</w:t>
      </w:r>
      <w:r>
        <w:rPr>
          <w:lang w:val="es-AR"/>
        </w:rPr>
      </w:r>
      <w:bookmarkEnd w:id="18"/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El proceso de restauracion ante desastres es el siguiente: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8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Restaurar el backup FULL mas reciente con NORECOVERY.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8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Aplicar el ultimo backup DIFERENCIAL disponible con NORECOVERY.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8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Aplicar todos los backups de LOG en orden cronologico hasta el ultimo disponible, el ultimo con RECOVERY.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8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Verificar integridad con DBCC CHECKDB.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8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Restaurar el certificado TDE desde el archivo de backup del certificado.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 w:after="80" w:before="80"/>
        <w:ind/>
        <w:rPr>
          <w:lang w:val="es-AR"/>
        </w:rPr>
      </w:pPr>
      <w:r>
        <w:rPr>
          <w:rFonts w:ascii="Arial" w:hAnsi="Arial" w:eastAsia="Arial" w:cs="Arial"/>
          <w:i/>
          <w:iCs/>
          <w:color w:val="595959"/>
          <w:sz w:val="19"/>
          <w:szCs w:val="19"/>
          <w:lang w:val="es-AR"/>
        </w:rPr>
      </w:r>
      <w:r>
        <w:rPr>
          <w:rFonts w:ascii="Arial" w:hAnsi="Arial" w:eastAsia="Arial" w:cs="Arial"/>
          <w:i/>
          <w:iCs/>
          <w:color w:val="595959"/>
          <w:sz w:val="19"/>
          <w:szCs w:val="19"/>
          <w:lang w:val="es-AR"/>
        </w:rPr>
        <w:t xml:space="preserve">(*)</w:t>
      </w:r>
      <w:r>
        <w:rPr>
          <w:rFonts w:ascii="Arial" w:hAnsi="Arial" w:eastAsia="Arial" w:cs="Arial"/>
          <w:i/>
          <w:iCs/>
          <w:color w:val="595959"/>
          <w:sz w:val="19"/>
          <w:szCs w:val="19"/>
          <w:lang w:val="es-AR"/>
        </w:rPr>
        <w:t xml:space="preserve"> El certificado TDE  debe estar respaldado en una ubicacion segura y separada. Sin el certificado, los backups cifrados son irrecuperables.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8"/>
        <w:pBdr/>
        <w:spacing w:after="120" w:before="240"/>
        <w:ind/>
        <w:rPr>
          <w:lang w:val="es-AR"/>
        </w:rPr>
      </w:pPr>
      <w:r/>
      <w:bookmarkStart w:id="19" w:name="_Toc19"/>
      <w:r>
        <w:rPr>
          <w:rFonts w:ascii="Arial" w:hAnsi="Arial" w:eastAsia="Arial" w:cs="Arial"/>
          <w:b/>
          <w:bCs/>
          <w:color w:val="2e75b6"/>
          <w:sz w:val="26"/>
          <w:szCs w:val="26"/>
          <w:lang w:val="es-AR"/>
        </w:rPr>
        <w:t xml:space="preserve">4.7 Monitoreo</w:t>
      </w:r>
      <w:r>
        <w:rPr>
          <w:lang w:val="es-AR"/>
        </w:rPr>
      </w:r>
      <w:bookmarkEnd w:id="19"/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9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Verificar en msdb.dbo.backupset que se ejecutaron correctamente todos los backups programados.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9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Configurar alertas en SQL Server Agent para notificar fallos de backup via email (Database Mail).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9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Revisar la tabla msdb.dbo.suspect_pages semanalmente para deteccion temprana de corrupcion.</w:t>
      </w:r>
      <w:r>
        <w:rPr>
          <w:lang w:val="es-AR"/>
        </w:rPr>
      </w:r>
      <w:r>
        <w:rPr>
          <w:lang w:val="es-AR"/>
        </w:rPr>
      </w:r>
    </w:p>
    <w:p>
      <w:pPr>
        <w:pStyle w:val="899"/>
        <w:numPr>
          <w:ilvl w:val="0"/>
          <w:numId w:val="9"/>
        </w:numPr>
        <w:pBdr/>
        <w:spacing w:after="60" w:before="60"/>
        <w:ind/>
        <w:rPr>
          <w:lang w:val="es-AR"/>
        </w:rPr>
      </w:pPr>
      <w:r>
        <w:rPr>
          <w:rFonts w:ascii="Arial" w:hAnsi="Arial" w:eastAsia="Arial" w:cs="Arial"/>
          <w:sz w:val="20"/>
          <w:szCs w:val="20"/>
          <w:lang w:val="es-AR"/>
        </w:rPr>
        <w:t xml:space="preserve">Ejecutar DBCC CHECKDB mensualmente en horario de baja actividad.</w:t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Style w:val="907"/>
        <w:pBdr/>
        <w:spacing w:after="160" w:before="320"/>
        <w:ind/>
        <w:rPr>
          <w:lang w:val="es-AR"/>
        </w:rPr>
      </w:pPr>
      <w:r/>
      <w:bookmarkStart w:id="20" w:name="_Toc20"/>
      <w:r>
        <w:rPr>
          <w:rFonts w:ascii="Arial" w:hAnsi="Arial" w:eastAsia="Arial" w:cs="Arial"/>
          <w:b/>
          <w:bCs/>
          <w:color w:val="1f3864"/>
          <w:sz w:val="32"/>
          <w:szCs w:val="32"/>
          <w:lang w:val="es-AR"/>
        </w:rPr>
        <w:t xml:space="preserve">5. Checklist de Verificacion</w:t>
      </w:r>
      <w:r>
        <w:rPr>
          <w:lang w:val="es-AR"/>
        </w:rPr>
      </w:r>
      <w:bookmarkEnd w:id="20"/>
      <w:r>
        <w:rPr>
          <w:lang w:val="es-AR"/>
        </w:rPr>
      </w:r>
      <w:r>
        <w:rPr>
          <w:lang w:val="es-AR"/>
        </w:rPr>
      </w:r>
    </w:p>
    <w:tbl>
      <w:tblPr>
        <w:tblW w:w="76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1984"/>
      </w:tblGrid>
      <w:tr>
        <w:trPr>
          <w:trHeight w:val="245"/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Verificacion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AR"/>
              </w:rPr>
              <w:t xml:space="preserve">Estado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TDE activado (sys.dm_database_encryption_keys)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Columnas sensibles migradas a VARBINARY (cifradas)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Columnas originales en texto claro eliminadas del esquema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Clave simetrica protegida por certificado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Roles creados con permisos minimos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DENY explicito en columnas cifradas para rol consultas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SPs de consulta descifran datos solo para roles autorizados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/>
                <w:bCs/>
                <w:color w:val="1a6b1a"/>
                <w:sz w:val="20"/>
                <w:szCs w:val="20"/>
                <w:lang w:val="es-AR"/>
              </w:rPr>
              <w:t xml:space="preserve">IMPLEMENTADO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Modelo de recuperacion configurado como FULL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Backup FULL semanal configurado en SQL Agent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Backup DIFERENCIAL diario configurado en SQL Agent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 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Backup LOG cada 15 min configurado en SQL Agent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Certificado TDE respaldado en ubicacion separada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Alertas de fallo de backup configuradas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  <w:tr>
        <w:trPr>
          <w:trHeight w:val="245"/>
        </w:trPr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AR"/>
              </w:rPr>
              <w:t xml:space="preserve">Test de restauracion documentado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  <w:tc>
          <w:tcPr>
            <w:shd w:val="clear" w:color="auto" w:fill="ebf3f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8b4000"/>
                <w:sz w:val="20"/>
                <w:szCs w:val="20"/>
                <w:lang w:val="es-AR"/>
              </w:rPr>
              <w:t xml:space="preserve">PENDIENTE</w:t>
            </w:r>
            <w:r>
              <w:rPr>
                <w:lang w:val="es-AR"/>
              </w:rPr>
            </w:r>
            <w:r>
              <w:rPr>
                <w:lang w:val="es-AR"/>
              </w:rPr>
            </w:r>
          </w:p>
        </w:tc>
      </w:tr>
    </w:tbl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 w:bidi="es-AR"/>
        </w:rPr>
      </w:r>
      <w:r>
        <w:rPr>
          <w:lang w:val="es-AR"/>
        </w:rPr>
      </w:r>
      <w:r>
        <w:rPr>
          <w:lang w:val="es-AR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626ED65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0B3A3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556468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8ED909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E6493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A65F9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1E5AB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7"/>
    <w:basedOn w:val="846"/>
    <w:next w:val="846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46"/>
    <w:next w:val="846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46"/>
    <w:next w:val="846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850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850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850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850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850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850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Title Char"/>
    <w:basedOn w:val="850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846"/>
    <w:next w:val="846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846"/>
    <w:next w:val="846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846"/>
    <w:next w:val="846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0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1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846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846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0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46"/>
    <w:next w:val="846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882">
    <w:name w:val="toc 2"/>
    <w:basedOn w:val="846"/>
    <w:next w:val="846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883">
    <w:name w:val="toc 3"/>
    <w:basedOn w:val="846"/>
    <w:next w:val="846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884">
    <w:name w:val="toc 4"/>
    <w:basedOn w:val="846"/>
    <w:next w:val="846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885">
    <w:name w:val="toc 5"/>
    <w:basedOn w:val="846"/>
    <w:next w:val="846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886">
    <w:name w:val="toc 6"/>
    <w:basedOn w:val="846"/>
    <w:next w:val="846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887">
    <w:name w:val="toc 7"/>
    <w:basedOn w:val="846"/>
    <w:next w:val="846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888">
    <w:name w:val="toc 8"/>
    <w:basedOn w:val="846"/>
    <w:next w:val="846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889">
    <w:name w:val="toc 9"/>
    <w:basedOn w:val="846"/>
    <w:next w:val="846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890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46"/>
    <w:next w:val="846"/>
    <w:uiPriority w:val="99"/>
    <w:unhideWhenUsed/>
    <w:pPr>
      <w:pBdr/>
      <w:spacing w:after="0" w:afterAutospacing="0"/>
      <w:ind/>
    </w:pPr>
  </w:style>
  <w:style w:type="paragraph" w:styleId="893">
    <w:name w:val="Title"/>
    <w:qFormat/>
    <w:pPr>
      <w:pBdr/>
      <w:spacing/>
      <w:ind/>
    </w:pPr>
    <w:rPr>
      <w:sz w:val="56"/>
      <w:szCs w:val="56"/>
    </w:rPr>
  </w:style>
  <w:style w:type="paragraph" w:styleId="89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5">
    <w:name w:val="Heading 4"/>
    <w:qFormat/>
    <w:pPr>
      <w:pBdr/>
      <w:spacing/>
      <w:ind/>
    </w:pPr>
    <w:rPr>
      <w:i/>
      <w:iCs/>
      <w:color w:val="2e74b5"/>
    </w:rPr>
  </w:style>
  <w:style w:type="paragraph" w:styleId="896">
    <w:name w:val="Heading 5"/>
    <w:qFormat/>
    <w:pPr>
      <w:pBdr/>
      <w:spacing/>
      <w:ind/>
    </w:pPr>
    <w:rPr>
      <w:color w:val="2e74b5"/>
    </w:rPr>
  </w:style>
  <w:style w:type="paragraph" w:styleId="897">
    <w:name w:val="Heading 6"/>
    <w:qFormat/>
    <w:pPr>
      <w:pBdr/>
      <w:spacing/>
      <w:ind/>
    </w:pPr>
    <w:rPr>
      <w:color w:val="1f4d78"/>
    </w:rPr>
  </w:style>
  <w:style w:type="paragraph" w:styleId="898">
    <w:name w:val="Strong"/>
    <w:qFormat/>
    <w:pPr>
      <w:pBdr/>
      <w:spacing/>
      <w:ind/>
    </w:pPr>
    <w:rPr>
      <w:b/>
      <w:bCs/>
    </w:rPr>
  </w:style>
  <w:style w:type="paragraph" w:styleId="899">
    <w:name w:val="List Paragraph"/>
    <w:qFormat/>
    <w:pPr>
      <w:pBdr/>
      <w:spacing/>
      <w:ind/>
    </w:pPr>
  </w:style>
  <w:style w:type="character" w:styleId="90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footnote text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link w:val="90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link w:val="90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7">
    <w:name w:val="Heading 1"/>
    <w:qFormat/>
    <w:pPr>
      <w:pBdr/>
      <w:spacing w:after="160" w:before="32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908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0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Table Grid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Table Grid Light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1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2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Plain Table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1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2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3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5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6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8" w:default="1">
    <w:name w:val="Normal"/>
    <w:qFormat/>
    <w:pPr>
      <w:pBdr/>
      <w:spacing/>
      <w:ind/>
    </w:pPr>
  </w:style>
  <w:style w:type="paragraph" w:styleId="1539">
    <w:name w:val="Heading 1"/>
    <w:basedOn w:val="1538"/>
    <w:next w:val="1538"/>
    <w:link w:val="15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0">
    <w:name w:val="Heading 2"/>
    <w:basedOn w:val="1538"/>
    <w:next w:val="1538"/>
    <w:link w:val="15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1">
    <w:name w:val="Heading 3"/>
    <w:basedOn w:val="1538"/>
    <w:next w:val="1538"/>
    <w:link w:val="15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2">
    <w:name w:val="Heading 4"/>
    <w:basedOn w:val="1538"/>
    <w:next w:val="1538"/>
    <w:link w:val="15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3">
    <w:name w:val="Heading 5"/>
    <w:basedOn w:val="1538"/>
    <w:next w:val="1538"/>
    <w:link w:val="15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4">
    <w:name w:val="Heading 6"/>
    <w:basedOn w:val="1538"/>
    <w:next w:val="1538"/>
    <w:link w:val="15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5">
    <w:name w:val="Heading 7"/>
    <w:basedOn w:val="1538"/>
    <w:next w:val="1538"/>
    <w:link w:val="15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6">
    <w:name w:val="Heading 8"/>
    <w:basedOn w:val="1538"/>
    <w:next w:val="1538"/>
    <w:link w:val="15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7">
    <w:name w:val="Heading 9"/>
    <w:basedOn w:val="1538"/>
    <w:next w:val="1538"/>
    <w:link w:val="15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8" w:default="1">
    <w:name w:val="Default Paragraph Font"/>
    <w:uiPriority w:val="1"/>
    <w:semiHidden/>
    <w:unhideWhenUsed/>
    <w:pPr>
      <w:pBdr/>
      <w:spacing/>
      <w:ind/>
    </w:pPr>
  </w:style>
  <w:style w:type="numbering" w:styleId="1549" w:default="1">
    <w:name w:val="No List"/>
    <w:uiPriority w:val="99"/>
    <w:semiHidden/>
    <w:unhideWhenUsed/>
    <w:pPr>
      <w:pBdr/>
      <w:spacing/>
      <w:ind/>
    </w:pPr>
  </w:style>
  <w:style w:type="character" w:styleId="1550">
    <w:name w:val="Heading 1 Char"/>
    <w:basedOn w:val="1548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1">
    <w:name w:val="Heading 2 Char"/>
    <w:basedOn w:val="1548"/>
    <w:link w:val="15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2">
    <w:name w:val="Heading 3 Char"/>
    <w:basedOn w:val="1548"/>
    <w:link w:val="15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3">
    <w:name w:val="Heading 4 Char"/>
    <w:basedOn w:val="1548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4">
    <w:name w:val="Heading 5 Char"/>
    <w:basedOn w:val="1548"/>
    <w:link w:val="15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5">
    <w:name w:val="Heading 6 Char"/>
    <w:basedOn w:val="1548"/>
    <w:link w:val="15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6">
    <w:name w:val="Heading 7 Char"/>
    <w:basedOn w:val="1548"/>
    <w:link w:val="15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7">
    <w:name w:val="Heading 8 Char"/>
    <w:basedOn w:val="1548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8">
    <w:name w:val="Heading 9 Char"/>
    <w:basedOn w:val="1548"/>
    <w:link w:val="15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9">
    <w:name w:val="Title"/>
    <w:basedOn w:val="1538"/>
    <w:next w:val="1538"/>
    <w:link w:val="15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0">
    <w:name w:val="Title Char"/>
    <w:basedOn w:val="1548"/>
    <w:link w:val="15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1">
    <w:name w:val="Subtitle"/>
    <w:basedOn w:val="1538"/>
    <w:next w:val="1538"/>
    <w:link w:val="15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2">
    <w:name w:val="Subtitle Char"/>
    <w:basedOn w:val="1548"/>
    <w:link w:val="15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3">
    <w:name w:val="Quote"/>
    <w:basedOn w:val="1538"/>
    <w:next w:val="1538"/>
    <w:link w:val="15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4">
    <w:name w:val="Quote Char"/>
    <w:basedOn w:val="1548"/>
    <w:link w:val="15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5">
    <w:name w:val="List Paragraph"/>
    <w:basedOn w:val="1538"/>
    <w:uiPriority w:val="34"/>
    <w:qFormat/>
    <w:pPr>
      <w:pBdr/>
      <w:spacing/>
      <w:ind w:left="720"/>
      <w:contextualSpacing w:val="true"/>
    </w:pPr>
  </w:style>
  <w:style w:type="character" w:styleId="1566">
    <w:name w:val="Intense Emphasis"/>
    <w:basedOn w:val="15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7">
    <w:name w:val="Intense Quote"/>
    <w:basedOn w:val="1538"/>
    <w:next w:val="1538"/>
    <w:link w:val="15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8">
    <w:name w:val="Intense Quote Char"/>
    <w:basedOn w:val="1548"/>
    <w:link w:val="15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9">
    <w:name w:val="Intense Reference"/>
    <w:basedOn w:val="15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0">
    <w:name w:val="No Spacing"/>
    <w:basedOn w:val="1538"/>
    <w:uiPriority w:val="1"/>
    <w:qFormat/>
    <w:pPr>
      <w:pBdr/>
      <w:spacing w:after="0" w:line="240" w:lineRule="auto"/>
      <w:ind/>
    </w:pPr>
  </w:style>
  <w:style w:type="character" w:styleId="1571">
    <w:name w:val="Subtle Emphasis"/>
    <w:basedOn w:val="15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2">
    <w:name w:val="Emphasis"/>
    <w:basedOn w:val="1548"/>
    <w:uiPriority w:val="20"/>
    <w:qFormat/>
    <w:pPr>
      <w:pBdr/>
      <w:spacing/>
      <w:ind/>
    </w:pPr>
    <w:rPr>
      <w:i/>
      <w:iCs/>
    </w:rPr>
  </w:style>
  <w:style w:type="character" w:styleId="1573">
    <w:name w:val="Strong"/>
    <w:basedOn w:val="1548"/>
    <w:uiPriority w:val="22"/>
    <w:qFormat/>
    <w:pPr>
      <w:pBdr/>
      <w:spacing/>
      <w:ind/>
    </w:pPr>
    <w:rPr>
      <w:b/>
      <w:bCs/>
    </w:rPr>
  </w:style>
  <w:style w:type="character" w:styleId="1574">
    <w:name w:val="Subtle Reference"/>
    <w:basedOn w:val="15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5">
    <w:name w:val="Book Title"/>
    <w:basedOn w:val="15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6">
    <w:name w:val="Header"/>
    <w:basedOn w:val="1538"/>
    <w:link w:val="15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7">
    <w:name w:val="Header Char"/>
    <w:basedOn w:val="1548"/>
    <w:link w:val="1576"/>
    <w:uiPriority w:val="99"/>
    <w:pPr>
      <w:pBdr/>
      <w:spacing/>
      <w:ind/>
    </w:pPr>
  </w:style>
  <w:style w:type="paragraph" w:styleId="1578">
    <w:name w:val="Footer"/>
    <w:basedOn w:val="1538"/>
    <w:link w:val="15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9">
    <w:name w:val="Footer Char"/>
    <w:basedOn w:val="1548"/>
    <w:link w:val="1578"/>
    <w:uiPriority w:val="99"/>
    <w:pPr>
      <w:pBdr/>
      <w:spacing/>
      <w:ind/>
    </w:pPr>
  </w:style>
  <w:style w:type="paragraph" w:styleId="1580">
    <w:name w:val="Caption"/>
    <w:basedOn w:val="1538"/>
    <w:next w:val="15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1">
    <w:name w:val="footnote text"/>
    <w:basedOn w:val="1538"/>
    <w:link w:val="15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2">
    <w:name w:val="Footnote Text Char"/>
    <w:basedOn w:val="1548"/>
    <w:link w:val="1581"/>
    <w:uiPriority w:val="99"/>
    <w:semiHidden/>
    <w:pPr>
      <w:pBdr/>
      <w:spacing/>
      <w:ind/>
    </w:pPr>
    <w:rPr>
      <w:sz w:val="20"/>
      <w:szCs w:val="20"/>
    </w:rPr>
  </w:style>
  <w:style w:type="character" w:styleId="1583">
    <w:name w:val="foot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paragraph" w:styleId="1584">
    <w:name w:val="endnote text"/>
    <w:basedOn w:val="1538"/>
    <w:link w:val="15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5">
    <w:name w:val="Endnote Text Char"/>
    <w:basedOn w:val="1548"/>
    <w:link w:val="1584"/>
    <w:uiPriority w:val="99"/>
    <w:semiHidden/>
    <w:pPr>
      <w:pBdr/>
      <w:spacing/>
      <w:ind/>
    </w:pPr>
    <w:rPr>
      <w:sz w:val="20"/>
      <w:szCs w:val="20"/>
    </w:rPr>
  </w:style>
  <w:style w:type="character" w:styleId="1586">
    <w:name w:val="end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character" w:styleId="1587">
    <w:name w:val="Hyperlink"/>
    <w:basedOn w:val="15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8">
    <w:name w:val="FollowedHyperlink"/>
    <w:basedOn w:val="15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9">
    <w:name w:val="toc 1"/>
    <w:basedOn w:val="1538"/>
    <w:next w:val="1538"/>
    <w:uiPriority w:val="39"/>
    <w:unhideWhenUsed/>
    <w:pPr>
      <w:pBdr/>
      <w:spacing w:after="100"/>
      <w:ind/>
    </w:pPr>
  </w:style>
  <w:style w:type="paragraph" w:styleId="1590">
    <w:name w:val="toc 2"/>
    <w:basedOn w:val="1538"/>
    <w:next w:val="1538"/>
    <w:uiPriority w:val="39"/>
    <w:unhideWhenUsed/>
    <w:pPr>
      <w:pBdr/>
      <w:spacing w:after="100"/>
      <w:ind w:left="220"/>
    </w:pPr>
  </w:style>
  <w:style w:type="paragraph" w:styleId="1591">
    <w:name w:val="toc 3"/>
    <w:basedOn w:val="1538"/>
    <w:next w:val="1538"/>
    <w:uiPriority w:val="39"/>
    <w:unhideWhenUsed/>
    <w:pPr>
      <w:pBdr/>
      <w:spacing w:after="100"/>
      <w:ind w:left="440"/>
    </w:pPr>
  </w:style>
  <w:style w:type="paragraph" w:styleId="1592">
    <w:name w:val="toc 4"/>
    <w:basedOn w:val="1538"/>
    <w:next w:val="1538"/>
    <w:uiPriority w:val="39"/>
    <w:unhideWhenUsed/>
    <w:pPr>
      <w:pBdr/>
      <w:spacing w:after="100"/>
      <w:ind w:left="660"/>
    </w:pPr>
  </w:style>
  <w:style w:type="paragraph" w:styleId="1593">
    <w:name w:val="toc 5"/>
    <w:basedOn w:val="1538"/>
    <w:next w:val="1538"/>
    <w:uiPriority w:val="39"/>
    <w:unhideWhenUsed/>
    <w:pPr>
      <w:pBdr/>
      <w:spacing w:after="100"/>
      <w:ind w:left="880"/>
    </w:pPr>
  </w:style>
  <w:style w:type="paragraph" w:styleId="1594">
    <w:name w:val="toc 6"/>
    <w:basedOn w:val="1538"/>
    <w:next w:val="1538"/>
    <w:uiPriority w:val="39"/>
    <w:unhideWhenUsed/>
    <w:pPr>
      <w:pBdr/>
      <w:spacing w:after="100"/>
      <w:ind w:left="1100"/>
    </w:pPr>
  </w:style>
  <w:style w:type="paragraph" w:styleId="1595">
    <w:name w:val="toc 7"/>
    <w:basedOn w:val="1538"/>
    <w:next w:val="1538"/>
    <w:uiPriority w:val="39"/>
    <w:unhideWhenUsed/>
    <w:pPr>
      <w:pBdr/>
      <w:spacing w:after="100"/>
      <w:ind w:left="1320"/>
    </w:pPr>
  </w:style>
  <w:style w:type="paragraph" w:styleId="1596">
    <w:name w:val="toc 8"/>
    <w:basedOn w:val="1538"/>
    <w:next w:val="1538"/>
    <w:uiPriority w:val="39"/>
    <w:unhideWhenUsed/>
    <w:pPr>
      <w:pBdr/>
      <w:spacing w:after="100"/>
      <w:ind w:left="1540"/>
    </w:pPr>
  </w:style>
  <w:style w:type="paragraph" w:styleId="1597">
    <w:name w:val="toc 9"/>
    <w:basedOn w:val="1538"/>
    <w:next w:val="1538"/>
    <w:uiPriority w:val="39"/>
    <w:unhideWhenUsed/>
    <w:pPr>
      <w:pBdr/>
      <w:spacing w:after="100"/>
      <w:ind w:left="1760"/>
    </w:pPr>
  </w:style>
  <w:style w:type="character" w:styleId="1598">
    <w:name w:val="Placeholder Text"/>
    <w:basedOn w:val="1548"/>
    <w:uiPriority w:val="99"/>
    <w:semiHidden/>
    <w:pPr>
      <w:pBdr/>
      <w:spacing/>
      <w:ind/>
    </w:pPr>
    <w:rPr>
      <w:color w:val="666666"/>
    </w:rPr>
  </w:style>
  <w:style w:type="paragraph" w:styleId="1599">
    <w:name w:val="TOC Heading"/>
    <w:uiPriority w:val="39"/>
    <w:unhideWhenUsed/>
    <w:pPr>
      <w:pBdr/>
      <w:spacing/>
      <w:ind/>
    </w:pPr>
  </w:style>
  <w:style w:type="paragraph" w:styleId="1600">
    <w:name w:val="table of figures"/>
    <w:basedOn w:val="1538"/>
    <w:next w:val="153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2026-06-22T18:35:13Z</dcterms:created>
  <dcterms:modified xsi:type="dcterms:W3CDTF">2026-06-26T20:54:27Z</dcterms:modified>
</cp:coreProperties>
</file>