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jc w:val="center"/>
      </w:pPr>
      <w:r>
        <w:rPr>
          <w:rFonts w:ascii="Times New Roman" w:hAnsi="Times New Roman"/>
          <w:b w:val="0"/>
          <w:i w:val="0"/>
          <w:sz w:val="24"/>
        </w:rPr>
        <w:t>SATC, Associação Beneficente da Indústria Carbonífera de Santa Catarina</w:t>
      </w:r>
    </w:p>
    <w:p>
      <w:pPr>
        <w:spacing w:line="360" w:lineRule="auto" w:after="120"/>
        <w:jc w:val="center"/>
      </w:pPr>
      <w:r>
        <w:rPr>
          <w:rFonts w:ascii="Times New Roman" w:hAnsi="Times New Roman"/>
          <w:b w:val="0"/>
          <w:i w:val="0"/>
          <w:sz w:val="24"/>
        </w:rPr>
        <w:t>Curso Superior de Tecnologia, Disciplina de Machine Learning</w:t>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jc w:val="center"/>
      </w:pPr>
      <w:r>
        <w:rPr>
          <w:rFonts w:ascii="Times New Roman" w:hAnsi="Times New Roman"/>
          <w:b/>
          <w:i w:val="0"/>
          <w:sz w:val="32"/>
        </w:rPr>
        <w:t>PREVISÃO DO VALOR DE RECOMPRA DE CLIENTES EM E-COMMERCE:</w:t>
      </w:r>
    </w:p>
    <w:p>
      <w:pPr>
        <w:spacing w:line="360" w:lineRule="auto" w:after="120"/>
        <w:jc w:val="center"/>
      </w:pPr>
      <w:r>
        <w:rPr>
          <w:rFonts w:ascii="Times New Roman" w:hAnsi="Times New Roman"/>
          <w:b/>
          <w:i w:val="0"/>
          <w:sz w:val="32"/>
        </w:rPr>
        <w:t>UMA COMPARAÇÃO ENTRE REGRESSÃO LINEAR MÚLTIPLA E REGRESSÃO RIDGE</w:t>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jc w:val="center"/>
      </w:pPr>
      <w:r>
        <w:rPr>
          <w:rFonts w:ascii="Times New Roman" w:hAnsi="Times New Roman"/>
          <w:b w:val="0"/>
          <w:i w:val="0"/>
          <w:sz w:val="24"/>
        </w:rPr>
        <w:t>Thiago</w:t>
      </w:r>
    </w:p>
    <w:p>
      <w:pPr>
        <w:spacing w:line="360" w:lineRule="auto" w:after="120"/>
        <w:jc w:val="center"/>
      </w:pPr>
      <w:r>
        <w:rPr>
          <w:rFonts w:ascii="Times New Roman" w:hAnsi="Times New Roman"/>
          <w:b w:val="0"/>
          <w:i w:val="0"/>
          <w:sz w:val="24"/>
        </w:rPr>
        <w:t>Vinicius Fabris</w:t>
      </w:r>
    </w:p>
    <w:p>
      <w:pPr>
        <w:spacing w:line="360" w:lineRule="auto" w:after="120"/>
        <w:jc w:val="center"/>
      </w:pPr>
      <w:r>
        <w:rPr>
          <w:rFonts w:ascii="Times New Roman" w:hAnsi="Times New Roman"/>
          <w:b w:val="0"/>
          <w:i w:val="0"/>
          <w:sz w:val="24"/>
        </w:rPr>
        <w:t>Murilo Cambruzzi</w:t>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pPr>
      <w:r>
        <w:rPr>
          <w:rFonts w:ascii="Times New Roman" w:hAnsi="Times New Roman"/>
          <w:b w:val="0"/>
          <w:i w:val="0"/>
          <w:sz w:val="24"/>
        </w:rPr>
      </w:r>
    </w:p>
    <w:p>
      <w:pPr>
        <w:spacing w:line="360" w:lineRule="auto" w:after="120"/>
        <w:jc w:val="center"/>
      </w:pPr>
      <w:r>
        <w:rPr>
          <w:rFonts w:ascii="Times New Roman" w:hAnsi="Times New Roman"/>
          <w:b w:val="0"/>
          <w:i w:val="0"/>
          <w:sz w:val="24"/>
        </w:rPr>
        <w:t>Criciúma (SC), 2026</w:t>
      </w:r>
    </w:p>
    <w:p>
      <w:r>
        <w:br w:type="page"/>
      </w:r>
    </w:p>
    <w:p>
      <w:pPr>
        <w:pStyle w:val="Heading1"/>
      </w:pPr>
      <w:r>
        <w:t>1. INTRODUÇÃO, PROBLEMA E JUSTIFICATIVA</w:t>
      </w:r>
    </w:p>
    <w:p>
      <w:pPr>
        <w:pStyle w:val="Heading2"/>
      </w:pPr>
      <w:r>
        <w:t>1.1. Contextualização do Problema Real</w:t>
      </w:r>
    </w:p>
    <w:p>
      <w:pPr>
        <w:spacing w:line="360" w:lineRule="auto" w:after="120"/>
      </w:pPr>
      <w:r>
        <w:rPr>
          <w:rFonts w:ascii="Times New Roman" w:hAnsi="Times New Roman"/>
          <w:b w:val="0"/>
          <w:i w:val="0"/>
          <w:sz w:val="24"/>
        </w:rPr>
        <w:t>Domínio de aplicação: varejo online e e-commerce, com foco em Customer Relationship Management (CRM) e gestão do relacionamento pós-venda.</w:t>
      </w:r>
    </w:p>
    <w:p>
      <w:pPr>
        <w:spacing w:line="360" w:lineRule="auto" w:after="120"/>
      </w:pPr>
      <w:r>
        <w:rPr>
          <w:rFonts w:ascii="Times New Roman" w:hAnsi="Times New Roman"/>
          <w:b w:val="0"/>
          <w:i w:val="0"/>
          <w:sz w:val="24"/>
        </w:rPr>
        <w:t>Situação atual: no varejo online, empresas tratam a base de clientes de forma homogênea em campanhas de marketing e ações de retenção, sem estimar quanto cada cliente vai gastar no período seguinte. Essa abordagem gera duas ineficiências: o investimento de marketing recai sobre clientes de baixo potencial de recompra, e clientes de alto potencial deixam de receber ofertas e atenção proporcionais ao valor que representam.</w:t>
      </w:r>
    </w:p>
    <w:p>
      <w:pPr>
        <w:spacing w:line="360" w:lineRule="auto" w:after="120"/>
      </w:pPr>
      <w:r>
        <w:rPr>
          <w:rFonts w:ascii="Times New Roman" w:hAnsi="Times New Roman"/>
          <w:b w:val="0"/>
          <w:i w:val="0"/>
          <w:sz w:val="24"/>
        </w:rPr>
        <w:t>Base teórica: a segmentação de clientes por comportamento de compra (Recência, Frequência e Valor Monetário, RFM) é uma prática consolidada em CRM e marketing de relacionamento, e serve de base para modelos preditivos de valor futuro de cliente (Customer Lifetime Value). [Observação da equipe: inserir aqui 1 ou 2 referências acadêmicas ou de mercado específicas sobre RFM/CLV em e-commerce antes da entrega final. Não incluímos fontes fictícias.]</w:t>
      </w:r>
    </w:p>
    <w:p>
      <w:pPr>
        <w:pStyle w:val="Heading2"/>
      </w:pPr>
      <w:r>
        <w:t>1.2. Definição do Problema de Machine Learning</w:t>
      </w:r>
    </w:p>
    <w:p>
      <w:pPr>
        <w:spacing w:line="360" w:lineRule="auto" w:after="120"/>
      </w:pPr>
      <w:r>
        <w:rPr>
          <w:rFonts w:ascii="Times New Roman" w:hAnsi="Times New Roman"/>
          <w:b w:val="0"/>
          <w:i w:val="0"/>
          <w:sz w:val="24"/>
        </w:rPr>
        <w:t>Definição técnica: Regressão. O objetivo é prever um valor contínuo, o gasto monetário futuro de um cliente, não uma categoria.</w:t>
      </w:r>
    </w:p>
    <w:p>
      <w:pPr>
        <w:spacing w:line="360" w:lineRule="auto" w:after="120"/>
      </w:pPr>
      <w:r>
        <w:rPr>
          <w:rFonts w:ascii="Times New Roman" w:hAnsi="Times New Roman"/>
          <w:b w:val="0"/>
          <w:i w:val="0"/>
          <w:sz w:val="24"/>
        </w:rPr>
        <w:t>Variável-alvo (target): ValorFuturo, a soma do valor líquido (Quantity × UnitPrice) das compras de cada cliente dentro de uma janela temporal futura, construída a partir da base histórica.</w:t>
      </w:r>
    </w:p>
    <w:p>
      <w:pPr>
        <w:spacing w:line="360" w:lineRule="auto" w:after="120"/>
      </w:pPr>
      <w:r>
        <w:rPr>
          <w:rFonts w:ascii="Times New Roman" w:hAnsi="Times New Roman"/>
          <w:b w:val="0"/>
          <w:i w:val="0"/>
          <w:sz w:val="24"/>
        </w:rPr>
        <w:t>Dataset escolhido: Online Retail, do UCI Machine Learning Repository (https://archive.ics.uci.edu/dataset/352/online+retail). Contém 541.909 transações de um varejista online do Reino Unido entre 01/12/2010 e 09/12/2011, com identificação do cliente, produto, quantidade, preço unitário e data/hora da transação. Esses campos permitem reconstruir o histórico de compras de cada cliente ao longo do tempo.</w:t>
      </w:r>
    </w:p>
    <w:p>
      <w:pPr>
        <w:pStyle w:val="Heading2"/>
      </w:pPr>
      <w:r>
        <w:t>1.3. Justificativa e Relevância</w:t>
      </w:r>
    </w:p>
    <w:p>
      <w:pPr>
        <w:spacing w:line="360" w:lineRule="auto" w:after="120"/>
      </w:pPr>
      <w:r>
        <w:rPr>
          <w:rFonts w:ascii="Times New Roman" w:hAnsi="Times New Roman"/>
          <w:b w:val="0"/>
          <w:i w:val="0"/>
          <w:sz w:val="24"/>
        </w:rPr>
        <w:t>Impacto: um modelo que estima o valor futuro de recompra permite priorizar investimento de marketing, personalizar ofertas por faixa de valor esperado e antecipar quedas de receita por perda de clientes de alto valor.</w:t>
      </w:r>
    </w:p>
    <w:p>
      <w:pPr>
        <w:spacing w:line="360" w:lineRule="auto" w:after="120"/>
      </w:pPr>
      <w:r>
        <w:rPr>
          <w:rFonts w:ascii="Times New Roman" w:hAnsi="Times New Roman"/>
          <w:b w:val="0"/>
          <w:i w:val="0"/>
          <w:sz w:val="24"/>
        </w:rPr>
        <w:t>Relevância do uso de Machine Learning: uma regra manual simples, como "clientes que compraram nos últimos 30 dias vão comprar de novo", ignora a relação simultânea entre múltiplas variáveis de comportamento (recência, frequência, ticket médio, tempo de relacionamento, variedade de itens comprados). A regressão combina essas variáveis de forma quantitativa e comparável; uma regra fixa não consegue fazer isso de forma consistente.</w:t>
      </w:r>
    </w:p>
    <w:p>
      <w:r>
        <w:br w:type="page"/>
      </w:r>
    </w:p>
    <w:p>
      <w:pPr>
        <w:pStyle w:val="Heading1"/>
      </w:pPr>
      <w:r>
        <w:t>2. OBJETIVOS</w:t>
      </w:r>
    </w:p>
    <w:p>
      <w:pPr>
        <w:pStyle w:val="Heading2"/>
      </w:pPr>
      <w:r>
        <w:t>2.1. Objetivo Geral</w:t>
      </w:r>
    </w:p>
    <w:p>
      <w:pPr>
        <w:spacing w:line="360" w:lineRule="auto" w:after="120"/>
      </w:pPr>
      <w:r>
        <w:rPr>
          <w:rFonts w:ascii="Times New Roman" w:hAnsi="Times New Roman"/>
          <w:b w:val="0"/>
          <w:i w:val="0"/>
          <w:sz w:val="24"/>
        </w:rPr>
        <w:t>Desenvolver e comparar modelos de Regressão Linear Múltipla e Regressão Ridge para prever o valor futuro de recompra de clientes de um varejista online, a partir de atributos históricos de comportamento de compra (RFM), utilizando o dataset público UCI Online Retail.</w:t>
      </w:r>
    </w:p>
    <w:p>
      <w:pPr>
        <w:pStyle w:val="Heading2"/>
      </w:pPr>
      <w:r>
        <w:t>2.2. Objetivos Específicos</w:t>
      </w:r>
    </w:p>
    <w:p>
      <w:pPr>
        <w:pStyle w:val="ListBullet"/>
        <w:spacing w:line="360" w:lineRule="auto"/>
      </w:pPr>
      <w:r>
        <w:rPr>
          <w:rFonts w:ascii="Times New Roman" w:hAnsi="Times New Roman"/>
          <w:sz w:val="24"/>
        </w:rPr>
        <w:t>Obter, inspecionar e estruturar o dataset Online Retail, compreendendo sua granularidade transacional.</w:t>
      </w:r>
    </w:p>
    <w:p>
      <w:pPr>
        <w:pStyle w:val="ListBullet"/>
        <w:spacing w:line="360" w:lineRule="auto"/>
      </w:pPr>
      <w:r>
        <w:rPr>
          <w:rFonts w:ascii="Times New Roman" w:hAnsi="Times New Roman"/>
          <w:sz w:val="24"/>
        </w:rPr>
        <w:t>Realizar a Análise Exploratória de Dados (EDA) para diagnosticar volume, tipos, valores ausentes e valores inválidos.</w:t>
      </w:r>
    </w:p>
    <w:p>
      <w:pPr>
        <w:pStyle w:val="ListBullet"/>
        <w:spacing w:line="360" w:lineRule="auto"/>
      </w:pPr>
      <w:r>
        <w:rPr>
          <w:rFonts w:ascii="Times New Roman" w:hAnsi="Times New Roman"/>
          <w:sz w:val="24"/>
        </w:rPr>
        <w:t>Implementar o pipeline de pré-processamento (higiene mínima, checagem de esquema) e a engenharia de atributos RFM a partir de uma janela histórica, respeitando corte temporal para evitar data leakage.</w:t>
      </w:r>
    </w:p>
    <w:p>
      <w:pPr>
        <w:pStyle w:val="ListBullet"/>
        <w:spacing w:line="360" w:lineRule="auto"/>
      </w:pPr>
      <w:r>
        <w:rPr>
          <w:rFonts w:ascii="Times New Roman" w:hAnsi="Times New Roman"/>
          <w:sz w:val="24"/>
        </w:rPr>
        <w:t>Treinar e otimizar dois modelos de Machine Learning Clássico, Regressão Linear Múltipla e Regressão Ridge, para comparação.</w:t>
      </w:r>
    </w:p>
    <w:p>
      <w:pPr>
        <w:pStyle w:val="ListBullet"/>
        <w:spacing w:line="360" w:lineRule="auto"/>
      </w:pPr>
      <w:r>
        <w:rPr>
          <w:rFonts w:ascii="Times New Roman" w:hAnsi="Times New Roman"/>
          <w:sz w:val="24"/>
        </w:rPr>
        <w:t>Comparar o desempenho dos dois modelos utilizando MAE, RMSE, R² e R² ajustado no conjunto de teste.</w:t>
      </w:r>
    </w:p>
    <w:p>
      <w:pPr>
        <w:pStyle w:val="ListBullet"/>
        <w:spacing w:line="360" w:lineRule="auto"/>
      </w:pPr>
      <w:r>
        <w:rPr>
          <w:rFonts w:ascii="Times New Roman" w:hAnsi="Times New Roman"/>
          <w:sz w:val="24"/>
        </w:rPr>
        <w:t>Analisar a contribuição de cada atributo RFM (coeficientes) e diagnosticar multicolinearidade via VIF.</w:t>
      </w:r>
    </w:p>
    <w:p>
      <w:r>
        <w:br w:type="page"/>
      </w:r>
    </w:p>
    <w:p>
      <w:pPr>
        <w:pStyle w:val="Heading1"/>
      </w:pPr>
      <w:r>
        <w:t>3. FUNDAMENTAÇÃO TEÓRICA</w:t>
      </w:r>
    </w:p>
    <w:p>
      <w:pPr>
        <w:pStyle w:val="Heading2"/>
      </w:pPr>
      <w:r>
        <w:t>3.1. Revisão Bibliográfica do Domínio</w:t>
      </w:r>
    </w:p>
    <w:p>
      <w:pPr>
        <w:spacing w:line="360" w:lineRule="auto" w:after="120"/>
      </w:pPr>
      <w:r>
        <w:rPr>
          <w:rFonts w:ascii="Times New Roman" w:hAnsi="Times New Roman"/>
          <w:b w:val="0"/>
          <w:i w:val="0"/>
          <w:sz w:val="24"/>
        </w:rPr>
        <w:t>Conceitos-chave do domínio:</w:t>
      </w:r>
    </w:p>
    <w:p>
      <w:pPr>
        <w:pStyle w:val="ListBullet"/>
        <w:spacing w:line="360" w:lineRule="auto"/>
      </w:pPr>
      <w:r>
        <w:rPr>
          <w:rFonts w:ascii="Times New Roman" w:hAnsi="Times New Roman"/>
          <w:sz w:val="24"/>
        </w:rPr>
        <w:t>Recência (R): tempo decorrido desde a última compra do cliente até uma data de referência.</w:t>
      </w:r>
    </w:p>
    <w:p>
      <w:pPr>
        <w:pStyle w:val="ListBullet"/>
        <w:spacing w:line="360" w:lineRule="auto"/>
      </w:pPr>
      <w:r>
        <w:rPr>
          <w:rFonts w:ascii="Times New Roman" w:hAnsi="Times New Roman"/>
          <w:sz w:val="24"/>
        </w:rPr>
        <w:t>Frequência (F): número de compras (notas fiscais distintas) realizadas pelo cliente em um período.</w:t>
      </w:r>
    </w:p>
    <w:p>
      <w:pPr>
        <w:pStyle w:val="ListBullet"/>
        <w:spacing w:line="360" w:lineRule="auto"/>
      </w:pPr>
      <w:r>
        <w:rPr>
          <w:rFonts w:ascii="Times New Roman" w:hAnsi="Times New Roman"/>
          <w:sz w:val="24"/>
        </w:rPr>
        <w:t>Valor Monetário (M): total gasto pelo cliente no período considerado.</w:t>
      </w:r>
    </w:p>
    <w:p>
      <w:pPr>
        <w:pStyle w:val="ListBullet"/>
        <w:spacing w:line="360" w:lineRule="auto"/>
      </w:pPr>
      <w:r>
        <w:rPr>
          <w:rFonts w:ascii="Times New Roman" w:hAnsi="Times New Roman"/>
          <w:sz w:val="24"/>
        </w:rPr>
        <w:t>Customer Lifetime Value (CLV): estimativa do valor total que um cliente deve gerar para a empresa ao longo do relacionamento. O problema deste trabalho simplifica o CLV: projeta o valor de um período futuro específico, em vez do valor vitalício completo.</w:t>
      </w:r>
    </w:p>
    <w:p>
      <w:pPr>
        <w:spacing w:line="360" w:lineRule="auto" w:after="120"/>
      </w:pPr>
      <w:r>
        <w:rPr>
          <w:rFonts w:ascii="Times New Roman" w:hAnsi="Times New Roman"/>
          <w:b w:val="0"/>
          <w:i w:val="0"/>
          <w:sz w:val="24"/>
        </w:rPr>
        <w:t>Estatísticas e fatos: [Observação da equipe: adicionar aqui 1 ou 2 dados quantitativos reais sobre o custo de aquisição de clientes comparado à retenção, ou sobre a relevância de segmentação por valor no e-commerce, citando a fonte. Não incluímos números aqui para evitar apresentar estatística inventada como real.]</w:t>
      </w:r>
    </w:p>
    <w:p>
      <w:pPr>
        <w:spacing w:line="360" w:lineRule="auto" w:after="120"/>
      </w:pPr>
      <w:r>
        <w:rPr>
          <w:rFonts w:ascii="Times New Roman" w:hAnsi="Times New Roman"/>
          <w:b w:val="0"/>
          <w:i w:val="0"/>
          <w:sz w:val="24"/>
        </w:rPr>
        <w:t>Soluções não-ML existentes: o mercado resolve esse problema hoje com regras de negócio baseadas em limiares (por exemplo, "cliente inativo há mais de 90 dias entra em campanha de reativação") ou com segmentações manuais em poucas faixas fixas de gasto. Essas abordagens não combinam múltiplas variáveis ao mesmo tempo nem se ajustam quando o padrão de comportamento muda; a regressão resolve as duas limitações.</w:t>
      </w:r>
    </w:p>
    <w:p>
      <w:pPr>
        <w:pStyle w:val="Heading2"/>
      </w:pPr>
      <w:r>
        <w:t>3.2. Referencial Teórico em Machine Learning</w:t>
      </w:r>
    </w:p>
    <w:p>
      <w:pPr>
        <w:spacing w:line="360" w:lineRule="auto" w:after="120"/>
      </w:pPr>
      <w:r>
        <w:rPr>
          <w:rFonts w:ascii="Times New Roman" w:hAnsi="Times New Roman"/>
          <w:b w:val="0"/>
          <w:i w:val="0"/>
          <w:sz w:val="24"/>
        </w:rPr>
        <w:t>Modelo A: Regressão Linear Múltipla. Relaciona uma variável-alvo contínua (y) a múltiplas variáveis preditoras (x₁, ..., xₚ) por uma combinação linear ŷ = w₀ + w₁x₁ + ... + wₚxₚ. Os coeficientes (w) resultam da minimização da soma dos erros quadráticos pelo método de Mínimos Quadrados Ordinários (OLS), que resolve as equações normais XᵀXw = Xᵀy. O modelo resolve problemas de regressão.</w:t>
      </w:r>
    </w:p>
    <w:p>
      <w:pPr>
        <w:spacing w:line="360" w:lineRule="auto" w:after="120"/>
      </w:pPr>
      <w:r>
        <w:rPr>
          <w:rFonts w:ascii="Times New Roman" w:hAnsi="Times New Roman"/>
          <w:b w:val="0"/>
          <w:i w:val="0"/>
          <w:sz w:val="24"/>
        </w:rPr>
        <w:t>Modelo B: Regressão Ridge. Variação da regressão linear que soma uma penalidade L2 (λΣwⱼ²) à função de custo e encolhe a magnitude dos coeficientes. A penalidade ajuda quando as variáveis preditoras se correlacionam entre si (multicolinearidade): estabiliza os coeficientes e reduz a variância do modelo em troca de um viés pequeno, e tende a generalizar melhor que o OLS quando os preditores não são independentes entre si. O modelo também resolve problemas de regressão; o hiperparâmetro alpha, que controla a força da penalidade, precisa de ajuste por validação.</w:t>
      </w:r>
    </w:p>
    <w:p>
      <w:r>
        <w:br w:type="page"/>
      </w:r>
    </w:p>
    <w:p>
      <w:pPr>
        <w:pStyle w:val="Heading1"/>
      </w:pPr>
      <w:r>
        <w:t>4. METODOLOGIA E DESENVOLVIMENTO</w:t>
      </w:r>
    </w:p>
    <w:p>
      <w:pPr>
        <w:pStyle w:val="Heading2"/>
      </w:pPr>
      <w:r>
        <w:t>4.1. Análise Exploratória de Dados (EDA)</w:t>
      </w:r>
    </w:p>
    <w:p>
      <w:pPr>
        <w:spacing w:line="360" w:lineRule="auto" w:after="120"/>
      </w:pPr>
      <w:r>
        <w:rPr>
          <w:rFonts w:ascii="Times New Roman" w:hAnsi="Times New Roman"/>
          <w:b w:val="0"/>
          <w:i w:val="0"/>
          <w:sz w:val="24"/>
        </w:rPr>
        <w:t>O dataset bruto possui 541.909 linhas e 8 colunas (InvoiceNo, StockCode, Description, Quantity, InvoiceDate, UnitPrice, CustomerID, Country), cobrindo o período de 2010-12-01 a 2011-12-09 (373 dias), com transações de 38 países.</w:t>
      </w:r>
    </w:p>
    <w:p>
      <w:pPr>
        <w:spacing w:line="360" w:lineRule="auto" w:after="120"/>
      </w:pPr>
      <w:r>
        <w:rPr>
          <w:rFonts w:ascii="Times New Roman" w:hAnsi="Times New Roman"/>
          <w:b w:val="0"/>
          <w:i w:val="0"/>
          <w:sz w:val="24"/>
        </w:rPr>
        <w:t>Diagnóstico de qualidade dos dados:</w:t>
      </w:r>
    </w:p>
    <w:p>
      <w:pPr>
        <w:pStyle w:val="ListBullet"/>
        <w:spacing w:line="360" w:lineRule="auto"/>
      </w:pPr>
      <w:r>
        <w:rPr>
          <w:rFonts w:ascii="Times New Roman" w:hAnsi="Times New Roman"/>
          <w:sz w:val="24"/>
        </w:rPr>
        <w:t>135.080 linhas (24,9%) não têm CustomerID preenchido, o que impede atribuir a compra a um cliente.</w:t>
      </w:r>
    </w:p>
    <w:p>
      <w:pPr>
        <w:pStyle w:val="ListBullet"/>
        <w:spacing w:line="360" w:lineRule="auto"/>
      </w:pPr>
      <w:r>
        <w:rPr>
          <w:rFonts w:ascii="Times New Roman" w:hAnsi="Times New Roman"/>
          <w:sz w:val="24"/>
        </w:rPr>
        <w:t>10.624 linhas têm Quantity negativa, referentes a devoluções e cancelamentos; a etapa de pré-processamento mantém essas linhas, pois refletem comportamento real do cliente.</w:t>
      </w:r>
    </w:p>
    <w:p>
      <w:pPr>
        <w:pStyle w:val="ListBullet"/>
        <w:spacing w:line="360" w:lineRule="auto"/>
      </w:pPr>
      <w:r>
        <w:rPr>
          <w:rFonts w:ascii="Times New Roman" w:hAnsi="Times New Roman"/>
          <w:sz w:val="24"/>
        </w:rPr>
        <w:t>2.517 linhas têm UnitPrice menor ou igual a zero: lançamentos inválidos, como ajustes contábeis.</w:t>
      </w:r>
    </w:p>
    <w:p>
      <w:pPr>
        <w:pStyle w:val="ListBullet"/>
        <w:spacing w:line="360" w:lineRule="auto"/>
      </w:pPr>
      <w:r>
        <w:rPr>
          <w:rFonts w:ascii="Times New Roman" w:hAnsi="Times New Roman"/>
          <w:sz w:val="24"/>
        </w:rPr>
        <w:t>9.288 notas fiscais têm prefixo 'C', identificando cancelamentos.</w:t>
      </w:r>
    </w:p>
    <w:p>
      <w:pPr>
        <w:pStyle w:val="ListBullet"/>
        <w:spacing w:line="360" w:lineRule="auto"/>
      </w:pPr>
      <w:r>
        <w:rPr>
          <w:rFonts w:ascii="Times New Roman" w:hAnsi="Times New Roman"/>
          <w:sz w:val="24"/>
        </w:rPr>
        <w:t>A base também contém códigos de produto não-comerciais (POST, DOT, M, C2, D, S, BANK CHARGES, AMAZONFEE, CRUK, PADS, B), que registram frete, taxas, descontos e ajustes administrativos em vez de vendas reais.</w:t>
      </w:r>
    </w:p>
    <w:p>
      <w:pPr>
        <w:spacing w:line="360" w:lineRule="auto" w:after="120"/>
      </w:pPr>
      <w:r>
        <w:rPr>
          <w:rFonts w:ascii="Times New Roman" w:hAnsi="Times New Roman"/>
          <w:b w:val="0"/>
          <w:i w:val="0"/>
          <w:sz w:val="24"/>
        </w:rPr>
        <w:t>Visualizações: os histogramas das variáveis RFM (Figura 1) e do valor futuro de recompra (Figura 2) mostram forte assimetria à direita, um padrão típico de dados de gasto monetário: poucos clientes concentram valores muito acima da mediana.</w:t>
      </w:r>
    </w:p>
    <w:p>
      <w:pPr>
        <w:jc w:val="center"/>
      </w:pPr>
      <w:r>
        <w:drawing>
          <wp:inline xmlns:a="http://schemas.openxmlformats.org/drawingml/2006/main" xmlns:pic="http://schemas.openxmlformats.org/drawingml/2006/picture">
            <wp:extent cx="5400000" cy="2880000"/>
            <wp:docPr id="1" name="Picture 1"/>
            <wp:cNvGraphicFramePr>
              <a:graphicFrameLocks noChangeAspect="1"/>
            </wp:cNvGraphicFramePr>
            <a:graphic>
              <a:graphicData uri="http://schemas.openxmlformats.org/drawingml/2006/picture">
                <pic:pic>
                  <pic:nvPicPr>
                    <pic:cNvPr id="0" name="eda_histogramas_rfm.png"/>
                    <pic:cNvPicPr/>
                  </pic:nvPicPr>
                  <pic:blipFill>
                    <a:blip r:embed="rId9"/>
                    <a:stretch>
                      <a:fillRect/>
                    </a:stretch>
                  </pic:blipFill>
                  <pic:spPr>
                    <a:xfrm>
                      <a:off x="0" y="0"/>
                      <a:ext cx="5400000" cy="2880000"/>
                    </a:xfrm>
                    <a:prstGeom prst="rect"/>
                  </pic:spPr>
                </pic:pic>
              </a:graphicData>
            </a:graphic>
          </wp:inline>
        </w:drawing>
      </w:r>
    </w:p>
    <w:p>
      <w:pPr>
        <w:spacing w:line="360" w:lineRule="auto" w:after="240"/>
        <w:jc w:val="center"/>
      </w:pPr>
      <w:r>
        <w:rPr>
          <w:rFonts w:ascii="Times New Roman" w:hAnsi="Times New Roman"/>
          <w:b w:val="0"/>
          <w:i/>
          <w:sz w:val="20"/>
        </w:rPr>
        <w:t>Figura 1. Distribuição das variáveis RFM construídas a partir da janela histórica.</w:t>
      </w:r>
    </w:p>
    <w:p>
      <w:pPr>
        <w:jc w:val="center"/>
      </w:pPr>
      <w:r>
        <w:drawing>
          <wp:inline xmlns:a="http://schemas.openxmlformats.org/drawingml/2006/main" xmlns:pic="http://schemas.openxmlformats.org/drawingml/2006/picture">
            <wp:extent cx="3600000" cy="2571429"/>
            <wp:docPr id="2" name="Picture 2"/>
            <wp:cNvGraphicFramePr>
              <a:graphicFrameLocks noChangeAspect="1"/>
            </wp:cNvGraphicFramePr>
            <a:graphic>
              <a:graphicData uri="http://schemas.openxmlformats.org/drawingml/2006/picture">
                <pic:pic>
                  <pic:nvPicPr>
                    <pic:cNvPr id="0" name="eda_target_hist.png"/>
                    <pic:cNvPicPr/>
                  </pic:nvPicPr>
                  <pic:blipFill>
                    <a:blip r:embed="rId10"/>
                    <a:stretch>
                      <a:fillRect/>
                    </a:stretch>
                  </pic:blipFill>
                  <pic:spPr>
                    <a:xfrm>
                      <a:off x="0" y="0"/>
                      <a:ext cx="3600000" cy="2571429"/>
                    </a:xfrm>
                    <a:prstGeom prst="rect"/>
                  </pic:spPr>
                </pic:pic>
              </a:graphicData>
            </a:graphic>
          </wp:inline>
        </w:drawing>
      </w:r>
    </w:p>
    <w:p>
      <w:pPr>
        <w:spacing w:line="360" w:lineRule="auto" w:after="240"/>
        <w:jc w:val="center"/>
      </w:pPr>
      <w:r>
        <w:rPr>
          <w:rFonts w:ascii="Times New Roman" w:hAnsi="Times New Roman"/>
          <w:b w:val="0"/>
          <w:i/>
          <w:sz w:val="20"/>
        </w:rPr>
        <w:t>Figura 2. Distribuição do valor futuro de recompra (até o percentil 95, para visualização).</w:t>
      </w:r>
    </w:p>
    <w:p>
      <w:pPr>
        <w:pStyle w:val="Heading2"/>
      </w:pPr>
      <w:r>
        <w:t>4.2. Pré-processamento e Feature Engineering</w:t>
      </w:r>
    </w:p>
    <w:p>
      <w:pPr>
        <w:spacing w:line="360" w:lineRule="auto" w:after="120"/>
      </w:pPr>
      <w:r>
        <w:rPr>
          <w:rFonts w:ascii="Times New Roman" w:hAnsi="Times New Roman"/>
          <w:b w:val="0"/>
          <w:i w:val="0"/>
          <w:sz w:val="24"/>
        </w:rPr>
        <w:t>Higiene mínima e checagem de esquema: o pipeline remove linhas sem CustomerID, linhas com UnitPrice ≤ 0 e os códigos de produto não-comerciais listados acima. Depois dessas etapas, restam 404.876 linhas válidas.</w:t>
      </w:r>
    </w:p>
    <w:p>
      <w:pPr>
        <w:spacing w:line="360" w:lineRule="auto" w:after="120"/>
      </w:pPr>
      <w:r>
        <w:rPr>
          <w:rFonts w:ascii="Times New Roman" w:hAnsi="Times New Roman"/>
          <w:b w:val="0"/>
          <w:i w:val="0"/>
          <w:sz w:val="24"/>
        </w:rPr>
        <w:t>Split temporal (contra data leakage): o grupo divide o período total em uma janela histórica (2010-12-01 a 2011-09-06, usada só para calcular as features) e uma janela futura (2011-09-06 a 2011-12-09, usada só para calcular o alvo). Nenhuma informação da janela futura entra no cálculo das features, e nenhuma informação anterior ao corte entra no alvo.</w:t>
      </w:r>
    </w:p>
    <w:p>
      <w:pPr>
        <w:spacing w:line="360" w:lineRule="auto" w:after="120"/>
      </w:pPr>
      <w:r>
        <w:rPr>
          <w:rFonts w:ascii="Times New Roman" w:hAnsi="Times New Roman"/>
          <w:b w:val="0"/>
          <w:i w:val="0"/>
          <w:sz w:val="24"/>
        </w:rPr>
        <w:t>Depois do split, 3.377 clientes têm pelo menos uma compra na janela histórica e entram no dataset de modelagem. Desses, 42,8% não compram nada na janela futura (ValorFuturo = 0): um comportamento real de churn de curto prazo, que o grupo mantém no dataset em vez de remover ou tratar como outlier.</w:t>
      </w:r>
    </w:p>
    <w:p>
      <w:pPr>
        <w:spacing w:line="360" w:lineRule="auto" w:after="120"/>
      </w:pPr>
      <w:r>
        <w:rPr>
          <w:rFonts w:ascii="Times New Roman" w:hAnsi="Times New Roman"/>
          <w:b w:val="0"/>
          <w:i w:val="0"/>
          <w:sz w:val="24"/>
        </w:rPr>
        <w:t>Engenharia de atributos (features RFM e complementares), calculadas por cliente somente sobre a janela histórica:</w:t>
      </w:r>
    </w:p>
    <w:p>
      <w:pPr>
        <w:pStyle w:val="ListBullet"/>
        <w:spacing w:line="360" w:lineRule="auto"/>
      </w:pPr>
      <w:r>
        <w:rPr>
          <w:rFonts w:ascii="Times New Roman" w:hAnsi="Times New Roman"/>
          <w:sz w:val="24"/>
        </w:rPr>
        <w:t>Recência: dias entre a última compra do cliente e a data de corte.</w:t>
      </w:r>
    </w:p>
    <w:p>
      <w:pPr>
        <w:pStyle w:val="ListBullet"/>
        <w:spacing w:line="360" w:lineRule="auto"/>
      </w:pPr>
      <w:r>
        <w:rPr>
          <w:rFonts w:ascii="Times New Roman" w:hAnsi="Times New Roman"/>
          <w:sz w:val="24"/>
        </w:rPr>
        <w:t>Frequência: número de notas fiscais distintas.</w:t>
      </w:r>
    </w:p>
    <w:p>
      <w:pPr>
        <w:pStyle w:val="ListBullet"/>
        <w:spacing w:line="360" w:lineRule="auto"/>
      </w:pPr>
      <w:r>
        <w:rPr>
          <w:rFonts w:ascii="Times New Roman" w:hAnsi="Times New Roman"/>
          <w:sz w:val="24"/>
        </w:rPr>
        <w:t>Monetário: soma do valor líquido das compras (Quantity × UnitPrice).</w:t>
      </w:r>
    </w:p>
    <w:p>
      <w:pPr>
        <w:pStyle w:val="ListBullet"/>
        <w:spacing w:line="360" w:lineRule="auto"/>
      </w:pPr>
      <w:r>
        <w:rPr>
          <w:rFonts w:ascii="Times New Roman" w:hAnsi="Times New Roman"/>
          <w:sz w:val="24"/>
        </w:rPr>
        <w:t>Ticket médio: valor monetário dividido pela frequência.</w:t>
      </w:r>
    </w:p>
    <w:p>
      <w:pPr>
        <w:pStyle w:val="ListBullet"/>
        <w:spacing w:line="360" w:lineRule="auto"/>
      </w:pPr>
      <w:r>
        <w:rPr>
          <w:rFonts w:ascii="Times New Roman" w:hAnsi="Times New Roman"/>
          <w:sz w:val="24"/>
        </w:rPr>
        <w:t>Tenure: dias entre a primeira compra do cliente e a data de corte (tempo de relacionamento).</w:t>
      </w:r>
    </w:p>
    <w:p>
      <w:pPr>
        <w:pStyle w:val="ListBullet"/>
        <w:spacing w:line="360" w:lineRule="auto"/>
      </w:pPr>
      <w:r>
        <w:rPr>
          <w:rFonts w:ascii="Times New Roman" w:hAnsi="Times New Roman"/>
          <w:sz w:val="24"/>
        </w:rPr>
        <w:t>Quantidade de itens distintos comprados (variedade de produtos).</w:t>
      </w:r>
    </w:p>
    <w:p>
      <w:pPr>
        <w:spacing w:line="360" w:lineRule="auto" w:after="120"/>
      </w:pPr>
      <w:r>
        <w:rPr>
          <w:rFonts w:ascii="Times New Roman" w:hAnsi="Times New Roman"/>
          <w:b w:val="0"/>
          <w:i w:val="0"/>
          <w:sz w:val="24"/>
        </w:rPr>
        <w:t>Divisão treino/teste: divisão aleatória 80/20 dos clientes (2701 treino, 676 teste, random_state fixo para reprodutibilidade). Como features e alvo já estão separados temporalmente, essa divisão adicional avalia a capacidade de generalização do modelo entre clientes, sem risco de vazamento temporal.</w:t>
      </w:r>
    </w:p>
    <w:p>
      <w:pPr>
        <w:spacing w:line="360" w:lineRule="auto" w:after="120"/>
      </w:pPr>
      <w:r>
        <w:rPr>
          <w:rFonts w:ascii="Times New Roman" w:hAnsi="Times New Roman"/>
          <w:b w:val="0"/>
          <w:i w:val="0"/>
          <w:sz w:val="24"/>
        </w:rPr>
        <w:t>Tratamento de nulos: não há valores ausentes nas features RFM construídas, pois todo cliente no dataset de modelagem tem, por definição, ao menos uma compra na janela histórica.</w:t>
      </w:r>
    </w:p>
    <w:p>
      <w:pPr>
        <w:spacing w:line="360" w:lineRule="auto" w:after="120"/>
      </w:pPr>
      <w:r>
        <w:rPr>
          <w:rFonts w:ascii="Times New Roman" w:hAnsi="Times New Roman"/>
          <w:b w:val="0"/>
          <w:i w:val="0"/>
          <w:sz w:val="24"/>
        </w:rPr>
        <w:t>Codificação categórica: não se aplica; todas as features usadas são numéricas.</w:t>
      </w:r>
    </w:p>
    <w:p>
      <w:pPr>
        <w:spacing w:line="360" w:lineRule="auto" w:after="120"/>
      </w:pPr>
      <w:r>
        <w:rPr>
          <w:rFonts w:ascii="Times New Roman" w:hAnsi="Times New Roman"/>
          <w:b w:val="0"/>
          <w:i w:val="0"/>
          <w:sz w:val="24"/>
        </w:rPr>
        <w:t>Escalonamento: o pipeline aplica StandardScaler (padronização, z = (x − μ) / σ) a todas as features, com fit só no conjunto de treino e transform no teste. A padronização importa tanto para Regressão Linear quanto para Ridge, cuja penalização L2 é sensível à escala dos coeficientes.</w:t>
      </w:r>
    </w:p>
    <w:p>
      <w:pPr>
        <w:spacing w:line="360" w:lineRule="auto" w:after="120"/>
      </w:pPr>
      <w:r>
        <w:rPr>
          <w:rFonts w:ascii="Times New Roman" w:hAnsi="Times New Roman"/>
          <w:b w:val="0"/>
          <w:i w:val="0"/>
          <w:sz w:val="24"/>
        </w:rPr>
        <w:t>Diagnóstico de multicolinearidade (VIF), calculado apenas no treino:</w:t>
      </w:r>
    </w:p>
    <w:tbl>
      <w:tblPr>
        <w:tblStyle w:val="LightGrid-Accent1"/>
        <w:tblW w:type="auto" w:w="0"/>
        <w:tblLook w:firstColumn="1" w:firstRow="1" w:lastColumn="0" w:lastRow="0" w:noHBand="0" w:noVBand="1" w:val="04A0"/>
      </w:tblPr>
      <w:tblGrid>
        <w:gridCol w:w="4702"/>
        <w:gridCol w:w="4702"/>
      </w:tblGrid>
      <w:tr>
        <w:tc>
          <w:tcPr>
            <w:tcW w:type="dxa" w:w="4702"/>
            <w:vAlign w:val="center"/>
          </w:tcPr>
          <w:p>
            <w:r/>
            <w:r>
              <w:rPr>
                <w:rFonts w:ascii="Times New Roman" w:hAnsi="Times New Roman"/>
                <w:b/>
                <w:sz w:val="22"/>
              </w:rPr>
              <w:t>Feature</w:t>
            </w:r>
          </w:p>
        </w:tc>
        <w:tc>
          <w:tcPr>
            <w:tcW w:type="dxa" w:w="4702"/>
            <w:vAlign w:val="center"/>
          </w:tcPr>
          <w:p>
            <w:r/>
            <w:r>
              <w:rPr>
                <w:rFonts w:ascii="Times New Roman" w:hAnsi="Times New Roman"/>
                <w:b/>
                <w:sz w:val="22"/>
              </w:rPr>
              <w:t>VIF</w:t>
            </w:r>
          </w:p>
        </w:tc>
      </w:tr>
      <w:tr>
        <w:tc>
          <w:tcPr>
            <w:tcW w:type="dxa" w:w="4702"/>
          </w:tcPr>
          <w:p>
            <w:r/>
            <w:r>
              <w:rPr>
                <w:rFonts w:ascii="Times New Roman" w:hAnsi="Times New Roman"/>
                <w:sz w:val="22"/>
              </w:rPr>
              <w:t>Recencia</w:t>
            </w:r>
          </w:p>
        </w:tc>
        <w:tc>
          <w:tcPr>
            <w:tcW w:type="dxa" w:w="4702"/>
          </w:tcPr>
          <w:p>
            <w:r/>
            <w:r>
              <w:rPr>
                <w:rFonts w:ascii="Times New Roman" w:hAnsi="Times New Roman"/>
                <w:sz w:val="22"/>
              </w:rPr>
              <w:t>1.41</w:t>
            </w:r>
          </w:p>
        </w:tc>
      </w:tr>
      <w:tr>
        <w:tc>
          <w:tcPr>
            <w:tcW w:type="dxa" w:w="4702"/>
          </w:tcPr>
          <w:p>
            <w:r/>
            <w:r>
              <w:rPr>
                <w:rFonts w:ascii="Times New Roman" w:hAnsi="Times New Roman"/>
                <w:sz w:val="22"/>
              </w:rPr>
              <w:t>Frequencia</w:t>
            </w:r>
          </w:p>
        </w:tc>
        <w:tc>
          <w:tcPr>
            <w:tcW w:type="dxa" w:w="4702"/>
          </w:tcPr>
          <w:p>
            <w:r/>
            <w:r>
              <w:rPr>
                <w:rFonts w:ascii="Times New Roman" w:hAnsi="Times New Roman"/>
                <w:sz w:val="22"/>
              </w:rPr>
              <w:t>2.82</w:t>
            </w:r>
          </w:p>
        </w:tc>
      </w:tr>
      <w:tr>
        <w:tc>
          <w:tcPr>
            <w:tcW w:type="dxa" w:w="4702"/>
          </w:tcPr>
          <w:p>
            <w:r/>
            <w:r>
              <w:rPr>
                <w:rFonts w:ascii="Times New Roman" w:hAnsi="Times New Roman"/>
                <w:sz w:val="22"/>
              </w:rPr>
              <w:t>Monetario</w:t>
            </w:r>
          </w:p>
        </w:tc>
        <w:tc>
          <w:tcPr>
            <w:tcW w:type="dxa" w:w="4702"/>
          </w:tcPr>
          <w:p>
            <w:r/>
            <w:r>
              <w:rPr>
                <w:rFonts w:ascii="Times New Roman" w:hAnsi="Times New Roman"/>
                <w:sz w:val="22"/>
              </w:rPr>
              <w:t>2.13</w:t>
            </w:r>
          </w:p>
        </w:tc>
      </w:tr>
      <w:tr>
        <w:tc>
          <w:tcPr>
            <w:tcW w:type="dxa" w:w="4702"/>
          </w:tcPr>
          <w:p>
            <w:r/>
            <w:r>
              <w:rPr>
                <w:rFonts w:ascii="Times New Roman" w:hAnsi="Times New Roman"/>
                <w:sz w:val="22"/>
              </w:rPr>
              <w:t>TicketMedio</w:t>
            </w:r>
          </w:p>
        </w:tc>
        <w:tc>
          <w:tcPr>
            <w:tcW w:type="dxa" w:w="4702"/>
          </w:tcPr>
          <w:p>
            <w:r/>
            <w:r>
              <w:rPr>
                <w:rFonts w:ascii="Times New Roman" w:hAnsi="Times New Roman"/>
                <w:sz w:val="22"/>
              </w:rPr>
              <w:t>1.61</w:t>
            </w:r>
          </w:p>
        </w:tc>
      </w:tr>
      <w:tr>
        <w:tc>
          <w:tcPr>
            <w:tcW w:type="dxa" w:w="4702"/>
          </w:tcPr>
          <w:p>
            <w:r/>
            <w:r>
              <w:rPr>
                <w:rFonts w:ascii="Times New Roman" w:hAnsi="Times New Roman"/>
                <w:sz w:val="22"/>
              </w:rPr>
              <w:t>Tenure</w:t>
            </w:r>
          </w:p>
        </w:tc>
        <w:tc>
          <w:tcPr>
            <w:tcW w:type="dxa" w:w="4702"/>
          </w:tcPr>
          <w:p>
            <w:r/>
            <w:r>
              <w:rPr>
                <w:rFonts w:ascii="Times New Roman" w:hAnsi="Times New Roman"/>
                <w:sz w:val="22"/>
              </w:rPr>
              <w:t>1.39</w:t>
            </w:r>
          </w:p>
        </w:tc>
      </w:tr>
      <w:tr>
        <w:tc>
          <w:tcPr>
            <w:tcW w:type="dxa" w:w="4702"/>
          </w:tcPr>
          <w:p>
            <w:r/>
            <w:r>
              <w:rPr>
                <w:rFonts w:ascii="Times New Roman" w:hAnsi="Times New Roman"/>
                <w:sz w:val="22"/>
              </w:rPr>
              <w:t>QtdItensDistintos</w:t>
            </w:r>
          </w:p>
        </w:tc>
        <w:tc>
          <w:tcPr>
            <w:tcW w:type="dxa" w:w="4702"/>
          </w:tcPr>
          <w:p>
            <w:r/>
            <w:r>
              <w:rPr>
                <w:rFonts w:ascii="Times New Roman" w:hAnsi="Times New Roman"/>
                <w:sz w:val="22"/>
              </w:rPr>
              <w:t>2.22</w:t>
            </w:r>
          </w:p>
        </w:tc>
      </w:tr>
    </w:tbl>
    <w:p>
      <w:pPr>
        <w:spacing w:after="120"/>
      </w:pPr>
    </w:p>
    <w:p>
      <w:pPr>
        <w:spacing w:line="360" w:lineRule="auto" w:after="120"/>
      </w:pPr>
      <w:r>
        <w:rPr>
          <w:rFonts w:ascii="Times New Roman" w:hAnsi="Times New Roman"/>
          <w:b w:val="0"/>
          <w:i w:val="0"/>
          <w:sz w:val="24"/>
        </w:rPr>
        <w:t>Nenhum VIF ultrapassa o limiar de atenção (5 a 10): as variáveis RFM construídas não apresentam multicolinearidade severa. Ainda assim, o grupo compara o modelo OLS com um modelo regularizado (Ridge) para testar se a regularização melhora a generalização mesmo com correlação moderada. Como a seção de avaliação mostra, o ganho ocorre.</w:t>
      </w:r>
    </w:p>
    <w:p>
      <w:pPr>
        <w:pStyle w:val="Heading2"/>
      </w:pPr>
      <w:r>
        <w:t>4.3. Implementação, Treinamento e Otimização dos Modelos</w:t>
      </w:r>
    </w:p>
    <w:p>
      <w:pPr>
        <w:spacing w:line="360" w:lineRule="auto" w:after="120"/>
      </w:pPr>
      <w:r>
        <w:rPr>
          <w:rFonts w:ascii="Times New Roman" w:hAnsi="Times New Roman"/>
          <w:b w:val="0"/>
          <w:i w:val="0"/>
          <w:sz w:val="24"/>
        </w:rPr>
        <w:t>O grupo implementa os dois modelos em Python, com a biblioteca scikit-learn (LinearRegression e Ridge).</w:t>
      </w:r>
    </w:p>
    <w:p>
      <w:pPr>
        <w:spacing w:line="360" w:lineRule="auto" w:after="120"/>
      </w:pPr>
      <w:r>
        <w:rPr>
          <w:rFonts w:ascii="Times New Roman" w:hAnsi="Times New Roman"/>
          <w:b w:val="0"/>
          <w:i w:val="0"/>
          <w:sz w:val="24"/>
        </w:rPr>
        <w:t>Otimização do Modelo B: o grupo ajusta o hiperparâmetro alpha (força da regularização L2) via GridSearchCV, com validação cruzada de 5 folds (KFold), testando os valores [0.01, 0.1, 1.0, 5.0, 10.0, 50.0, 100.0] e otimizando o MAE médio de validação. O valor selecionado é alpha = 100.</w:t>
      </w:r>
    </w:p>
    <w:p>
      <w:pPr>
        <w:jc w:val="center"/>
      </w:pPr>
      <w:r>
        <w:drawing>
          <wp:inline xmlns:a="http://schemas.openxmlformats.org/drawingml/2006/main" xmlns:pic="http://schemas.openxmlformats.org/drawingml/2006/picture">
            <wp:extent cx="3600000" cy="2571429"/>
            <wp:docPr id="3" name="Picture 3"/>
            <wp:cNvGraphicFramePr>
              <a:graphicFrameLocks noChangeAspect="1"/>
            </wp:cNvGraphicFramePr>
            <a:graphic>
              <a:graphicData uri="http://schemas.openxmlformats.org/drawingml/2006/picture">
                <pic:pic>
                  <pic:nvPicPr>
                    <pic:cNvPr id="0" name="ridge_alpha_cv.png"/>
                    <pic:cNvPicPr/>
                  </pic:nvPicPr>
                  <pic:blipFill>
                    <a:blip r:embed="rId11"/>
                    <a:stretch>
                      <a:fillRect/>
                    </a:stretch>
                  </pic:blipFill>
                  <pic:spPr>
                    <a:xfrm>
                      <a:off x="0" y="0"/>
                      <a:ext cx="3600000" cy="2571429"/>
                    </a:xfrm>
                    <a:prstGeom prst="rect"/>
                  </pic:spPr>
                </pic:pic>
              </a:graphicData>
            </a:graphic>
          </wp:inline>
        </w:drawing>
      </w:r>
    </w:p>
    <w:p>
      <w:pPr>
        <w:spacing w:line="360" w:lineRule="auto" w:after="240"/>
        <w:jc w:val="center"/>
      </w:pPr>
      <w:r>
        <w:rPr>
          <w:rFonts w:ascii="Times New Roman" w:hAnsi="Times New Roman"/>
          <w:b w:val="0"/>
          <w:i/>
          <w:sz w:val="20"/>
        </w:rPr>
        <w:t>Figura 3. MAE médio de validação cruzada em função do hiperparâmetro alpha (Ridge).</w:t>
      </w:r>
    </w:p>
    <w:p>
      <w:pPr>
        <w:pStyle w:val="Heading2"/>
      </w:pPr>
      <w:r>
        <w:t>4.4. Avaliação e Análise de Resultados</w:t>
      </w:r>
    </w:p>
    <w:p>
      <w:pPr>
        <w:spacing w:line="360" w:lineRule="auto" w:after="120"/>
      </w:pPr>
      <w:r>
        <w:rPr>
          <w:rFonts w:ascii="Times New Roman" w:hAnsi="Times New Roman"/>
          <w:b w:val="0"/>
          <w:i w:val="0"/>
          <w:sz w:val="24"/>
        </w:rPr>
        <w:t>Comparação quantitativa no conjunto de teste:</w:t>
      </w:r>
    </w:p>
    <w:tbl>
      <w:tblPr>
        <w:tblStyle w:val="LightGrid-Accent1"/>
        <w:tblW w:type="auto" w:w="0"/>
        <w:tblLook w:firstColumn="1" w:firstRow="1" w:lastColumn="0" w:lastRow="0" w:noHBand="0" w:noVBand="1" w:val="04A0"/>
      </w:tblPr>
      <w:tblGrid>
        <w:gridCol w:w="3135"/>
        <w:gridCol w:w="3135"/>
        <w:gridCol w:w="3135"/>
      </w:tblGrid>
      <w:tr>
        <w:tc>
          <w:tcPr>
            <w:tcW w:type="dxa" w:w="3135"/>
            <w:vAlign w:val="center"/>
          </w:tcPr>
          <w:p>
            <w:r/>
            <w:r>
              <w:rPr>
                <w:rFonts w:ascii="Times New Roman" w:hAnsi="Times New Roman"/>
                <w:b/>
                <w:sz w:val="22"/>
              </w:rPr>
              <w:t>Métrica</w:t>
            </w:r>
          </w:p>
        </w:tc>
        <w:tc>
          <w:tcPr>
            <w:tcW w:type="dxa" w:w="3135"/>
            <w:vAlign w:val="center"/>
          </w:tcPr>
          <w:p>
            <w:r/>
            <w:r>
              <w:rPr>
                <w:rFonts w:ascii="Times New Roman" w:hAnsi="Times New Roman"/>
                <w:b/>
                <w:sz w:val="22"/>
              </w:rPr>
              <w:t>Modelo A (Linear Múltipla)</w:t>
            </w:r>
          </w:p>
        </w:tc>
        <w:tc>
          <w:tcPr>
            <w:tcW w:type="dxa" w:w="3135"/>
            <w:vAlign w:val="center"/>
          </w:tcPr>
          <w:p>
            <w:r/>
            <w:r>
              <w:rPr>
                <w:rFonts w:ascii="Times New Roman" w:hAnsi="Times New Roman"/>
                <w:b/>
                <w:sz w:val="22"/>
              </w:rPr>
              <w:t>Modelo B (Ridge)</w:t>
            </w:r>
          </w:p>
        </w:tc>
      </w:tr>
      <w:tr>
        <w:tc>
          <w:tcPr>
            <w:tcW w:type="dxa" w:w="3135"/>
          </w:tcPr>
          <w:p>
            <w:r/>
            <w:r>
              <w:rPr>
                <w:rFonts w:ascii="Times New Roman" w:hAnsi="Times New Roman"/>
                <w:sz w:val="22"/>
              </w:rPr>
              <w:t>MAE (£)</w:t>
            </w:r>
          </w:p>
        </w:tc>
        <w:tc>
          <w:tcPr>
            <w:tcW w:type="dxa" w:w="3135"/>
          </w:tcPr>
          <w:p>
            <w:r/>
            <w:r>
              <w:rPr>
                <w:rFonts w:ascii="Times New Roman" w:hAnsi="Times New Roman"/>
                <w:sz w:val="22"/>
              </w:rPr>
              <w:t>463.26</w:t>
            </w:r>
          </w:p>
        </w:tc>
        <w:tc>
          <w:tcPr>
            <w:tcW w:type="dxa" w:w="3135"/>
          </w:tcPr>
          <w:p>
            <w:r/>
            <w:r>
              <w:rPr>
                <w:rFonts w:ascii="Times New Roman" w:hAnsi="Times New Roman"/>
                <w:sz w:val="22"/>
              </w:rPr>
              <w:t>444.36</w:t>
            </w:r>
          </w:p>
        </w:tc>
      </w:tr>
      <w:tr>
        <w:tc>
          <w:tcPr>
            <w:tcW w:type="dxa" w:w="3135"/>
          </w:tcPr>
          <w:p>
            <w:r/>
            <w:r>
              <w:rPr>
                <w:rFonts w:ascii="Times New Roman" w:hAnsi="Times New Roman"/>
                <w:sz w:val="22"/>
              </w:rPr>
              <w:t>RMSE (£)</w:t>
            </w:r>
          </w:p>
        </w:tc>
        <w:tc>
          <w:tcPr>
            <w:tcW w:type="dxa" w:w="3135"/>
          </w:tcPr>
          <w:p>
            <w:r/>
            <w:r>
              <w:rPr>
                <w:rFonts w:ascii="Times New Roman" w:hAnsi="Times New Roman"/>
                <w:sz w:val="22"/>
              </w:rPr>
              <w:t>791.00</w:t>
            </w:r>
          </w:p>
        </w:tc>
        <w:tc>
          <w:tcPr>
            <w:tcW w:type="dxa" w:w="3135"/>
          </w:tcPr>
          <w:p>
            <w:r/>
            <w:r>
              <w:rPr>
                <w:rFonts w:ascii="Times New Roman" w:hAnsi="Times New Roman"/>
                <w:sz w:val="22"/>
              </w:rPr>
              <w:t>774.05</w:t>
            </w:r>
          </w:p>
        </w:tc>
      </w:tr>
      <w:tr>
        <w:tc>
          <w:tcPr>
            <w:tcW w:type="dxa" w:w="3135"/>
          </w:tcPr>
          <w:p>
            <w:r/>
            <w:r>
              <w:rPr>
                <w:rFonts w:ascii="Times New Roman" w:hAnsi="Times New Roman"/>
                <w:sz w:val="22"/>
              </w:rPr>
              <w:t>R²</w:t>
            </w:r>
          </w:p>
        </w:tc>
        <w:tc>
          <w:tcPr>
            <w:tcW w:type="dxa" w:w="3135"/>
          </w:tcPr>
          <w:p>
            <w:r/>
            <w:r>
              <w:rPr>
                <w:rFonts w:ascii="Times New Roman" w:hAnsi="Times New Roman"/>
                <w:sz w:val="22"/>
              </w:rPr>
              <w:t>0.3723</w:t>
            </w:r>
          </w:p>
        </w:tc>
        <w:tc>
          <w:tcPr>
            <w:tcW w:type="dxa" w:w="3135"/>
          </w:tcPr>
          <w:p>
            <w:r/>
            <w:r>
              <w:rPr>
                <w:rFonts w:ascii="Times New Roman" w:hAnsi="Times New Roman"/>
                <w:sz w:val="22"/>
              </w:rPr>
              <w:t>0.3989</w:t>
            </w:r>
          </w:p>
        </w:tc>
      </w:tr>
      <w:tr>
        <w:tc>
          <w:tcPr>
            <w:tcW w:type="dxa" w:w="3135"/>
          </w:tcPr>
          <w:p>
            <w:r/>
            <w:r>
              <w:rPr>
                <w:rFonts w:ascii="Times New Roman" w:hAnsi="Times New Roman"/>
                <w:sz w:val="22"/>
              </w:rPr>
              <w:t>R² ajustado</w:t>
            </w:r>
          </w:p>
        </w:tc>
        <w:tc>
          <w:tcPr>
            <w:tcW w:type="dxa" w:w="3135"/>
          </w:tcPr>
          <w:p>
            <w:r/>
            <w:r>
              <w:rPr>
                <w:rFonts w:ascii="Times New Roman" w:hAnsi="Times New Roman"/>
                <w:sz w:val="22"/>
              </w:rPr>
              <w:t>0.3667</w:t>
            </w:r>
          </w:p>
        </w:tc>
        <w:tc>
          <w:tcPr>
            <w:tcW w:type="dxa" w:w="3135"/>
          </w:tcPr>
          <w:p>
            <w:r/>
            <w:r>
              <w:rPr>
                <w:rFonts w:ascii="Times New Roman" w:hAnsi="Times New Roman"/>
                <w:sz w:val="22"/>
              </w:rPr>
              <w:t>0.3935</w:t>
            </w:r>
          </w:p>
        </w:tc>
      </w:tr>
    </w:tbl>
    <w:p>
      <w:pPr>
        <w:spacing w:after="120"/>
      </w:pPr>
    </w:p>
    <w:p>
      <w:pPr>
        <w:spacing w:line="360" w:lineRule="auto" w:after="120"/>
      </w:pPr>
      <w:r>
        <w:rPr>
          <w:rFonts w:ascii="Times New Roman" w:hAnsi="Times New Roman"/>
          <w:b w:val="0"/>
          <w:i w:val="0"/>
          <w:sz w:val="24"/>
        </w:rPr>
        <w:t>Justificativa das métricas: o grupo prioriza MAE e RMSE porque traduzem o erro diretamente na unidade do negócio (libras esterlinas). O RMSE acompanha o MAE porque penaliza mais os erros grandes, um ponto relevante aqui: a variável-alvo tem cauda pesada, com poucos clientes de gasto futuro muito alto. R² e R² ajustado complementam a análise como medida da variância explicada. O R² ajustado é o mais apropriado para comparar os dois modelos, pois penaliza o número de preditores, ainda que os dois modelos usem o mesmo conjunto de 6 features.</w:t>
      </w:r>
    </w:p>
    <w:p>
      <w:pPr>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real_vs_previsto.png"/>
                    <pic:cNvPicPr/>
                  </pic:nvPicPr>
                  <pic:blipFill>
                    <a:blip r:embed="rId12"/>
                    <a:stretch>
                      <a:fillRect/>
                    </a:stretch>
                  </pic:blipFill>
                  <pic:spPr>
                    <a:xfrm>
                      <a:off x="0" y="0"/>
                      <a:ext cx="5580000" cy="2557500"/>
                    </a:xfrm>
                    <a:prstGeom prst="rect"/>
                  </pic:spPr>
                </pic:pic>
              </a:graphicData>
            </a:graphic>
          </wp:inline>
        </w:drawing>
      </w:r>
    </w:p>
    <w:p>
      <w:pPr>
        <w:spacing w:line="360" w:lineRule="auto" w:after="240"/>
        <w:jc w:val="center"/>
      </w:pPr>
      <w:r>
        <w:rPr>
          <w:rFonts w:ascii="Times New Roman" w:hAnsi="Times New Roman"/>
          <w:b w:val="0"/>
          <w:i/>
          <w:sz w:val="20"/>
        </w:rPr>
        <w:t>Figura 4. Valor real e valor previsto no conjunto de teste (linha tracejada: previsão perfeita).</w:t>
      </w:r>
    </w:p>
    <w:p>
      <w:pPr>
        <w:jc w:val="center"/>
      </w:pPr>
      <w:r>
        <w:drawing>
          <wp:inline xmlns:a="http://schemas.openxmlformats.org/drawingml/2006/main" xmlns:pic="http://schemas.openxmlformats.org/drawingml/2006/picture">
            <wp:extent cx="5580000" cy="2557500"/>
            <wp:docPr id="5" name="Picture 5"/>
            <wp:cNvGraphicFramePr>
              <a:graphicFrameLocks noChangeAspect="1"/>
            </wp:cNvGraphicFramePr>
            <a:graphic>
              <a:graphicData uri="http://schemas.openxmlformats.org/drawingml/2006/picture">
                <pic:pic>
                  <pic:nvPicPr>
                    <pic:cNvPr id="0" name="residuos.png"/>
                    <pic:cNvPicPr/>
                  </pic:nvPicPr>
                  <pic:blipFill>
                    <a:blip r:embed="rId13"/>
                    <a:stretch>
                      <a:fillRect/>
                    </a:stretch>
                  </pic:blipFill>
                  <pic:spPr>
                    <a:xfrm>
                      <a:off x="0" y="0"/>
                      <a:ext cx="5580000" cy="2557500"/>
                    </a:xfrm>
                    <a:prstGeom prst="rect"/>
                  </pic:spPr>
                </pic:pic>
              </a:graphicData>
            </a:graphic>
          </wp:inline>
        </w:drawing>
      </w:r>
    </w:p>
    <w:p>
      <w:pPr>
        <w:spacing w:line="360" w:lineRule="auto" w:after="240"/>
        <w:jc w:val="center"/>
      </w:pPr>
      <w:r>
        <w:rPr>
          <w:rFonts w:ascii="Times New Roman" w:hAnsi="Times New Roman"/>
          <w:b w:val="0"/>
          <w:i/>
          <w:sz w:val="20"/>
        </w:rPr>
        <w:t>Figura 5. Resíduos (real menos previsto) em função do valor previsto.</w:t>
      </w:r>
    </w:p>
    <w:p>
      <w:pPr>
        <w:spacing w:line="360" w:lineRule="auto" w:after="120"/>
      </w:pPr>
      <w:r>
        <w:rPr>
          <w:rFonts w:ascii="Times New Roman" w:hAnsi="Times New Roman"/>
          <w:b w:val="0"/>
          <w:i w:val="0"/>
          <w:sz w:val="24"/>
        </w:rPr>
        <w:t>Análise crítica: o Modelo B (Ridge) supera o Modelo A em todas as métricas, com MAE caindo de 463 para 444 e R² subindo de 0.372 para 0.399. A comparação dos coeficientes revela um resultado notável: no Modelo A, a Frequência recebe coeficiente negativo (-57.0), o que sugere, de forma contraintuitiva, que comprar com mais frequência reduz o gasto futuro. Esse efeito vem da correlação entre Frequência, Monetário e Ticket Médio, e desaparece no Modelo B: ali o mesmo coeficiente passa a positivo (83.6), uma relação mais consistente com o domínio, já que clientes mais frequentes tendem a manter ou aumentar o gasto. O caso mostra por que a regularização Ridge supera o OLS puro mesmo quando os VIFs individuais não indicam multicolinearidade severa: pequenas correlações combinadas entre várias variáveis bastam para desestabilizar o sinal de um coeficiente.</w:t>
      </w:r>
    </w:p>
    <w:p>
      <w:pPr>
        <w:spacing w:line="360" w:lineRule="auto" w:after="120"/>
      </w:pPr>
      <w:r>
        <w:rPr>
          <w:rFonts w:ascii="Times New Roman" w:hAnsi="Times New Roman"/>
          <w:b w:val="0"/>
          <w:i w:val="0"/>
          <w:sz w:val="24"/>
        </w:rPr>
        <w:t>Os gráficos de resíduos (Figura 5) não mostram um funil acentuado. Os dois modelos apresentam maior dispersão de erro para clientes de valor futuro mais alto, um resultado esperado: fatores externos como sazonalidade e promoções pontuais influenciam o comportamento de clientes de alto valor, e as 6 features RFM não capturam esses fatores. O R² entre 0,37 e 0,40 mostra que os modelos capturam parte do padrão de recompra, mas deixam uma fração relevante sem explicar, um resultado plausível para um problema com componente de comportamento humano e apenas atributos históricos como entrada.</w:t>
      </w:r>
    </w:p>
    <w:p>
      <w:r>
        <w:br w:type="page"/>
      </w:r>
    </w:p>
    <w:p>
      <w:pPr>
        <w:pStyle w:val="Heading1"/>
      </w:pPr>
      <w:r>
        <w:t>5. CONCLUSÃO, PRODUTO FINAL E CRONOGRAMA</w:t>
      </w:r>
    </w:p>
    <w:p>
      <w:pPr>
        <w:spacing w:line="360" w:lineRule="auto" w:after="120"/>
      </w:pPr>
      <w:r>
        <w:rPr>
          <w:rFonts w:ascii="Times New Roman" w:hAnsi="Times New Roman"/>
          <w:b w:val="0"/>
          <w:i w:val="0"/>
          <w:sz w:val="24"/>
        </w:rPr>
        <w:t>O grupo seleciona o Modelo B (Regressão Ridge, alpha = 100) como modelo final: ele generaliza melhor em todas as métricas avaliadas no conjunto de teste e produz coeficientes mais estáveis e interpretáveis do que o Modelo A. O projeto aplica, com dados reais, o pipeline completo de pré-processamento, engenharia de atributos com controle de data leakage e comparação de modelos ensinado até a Aula 6 da disciplina.</w:t>
      </w:r>
    </w:p>
    <w:p>
      <w:pPr>
        <w:spacing w:line="360" w:lineRule="auto" w:after="120"/>
      </w:pPr>
      <w:r>
        <w:rPr>
          <w:rFonts w:ascii="Times New Roman" w:hAnsi="Times New Roman"/>
          <w:b w:val="0"/>
          <w:i w:val="0"/>
          <w:sz w:val="24"/>
        </w:rPr>
        <w:t>O professor ainda não apresentou Regressão Logística, KNN, SVM e K-Means em aula, e por isso o grupo limita este trabalho ao problema de regressão. Quando o professor apresentar os próximos algoritmos, o grupo vai retomar o projeto para incluir um problema complementar de classificação (cliente de alto potencial: sim ou não) e a segmentação de clientes via K-Means sobre as mesmas variáveis RFM. O planejamento inicial do grupo já mapeia as duas extensões.</w:t>
      </w:r>
    </w:p>
    <w:p>
      <w:pPr>
        <w:pStyle w:val="Heading2"/>
      </w:pPr>
      <w:r>
        <w:t>5.1. Entregáveis Obrigatórios</w:t>
      </w:r>
    </w:p>
    <w:p>
      <w:pPr>
        <w:pStyle w:val="ListBullet"/>
        <w:spacing w:line="360" w:lineRule="auto"/>
      </w:pPr>
      <w:r>
        <w:rPr>
          <w:rFonts w:ascii="Times New Roman" w:hAnsi="Times New Roman"/>
          <w:sz w:val="24"/>
        </w:rPr>
        <w:t>Documento final (este relatório), estruturado conforme o escopo do professor.</w:t>
      </w:r>
    </w:p>
    <w:p>
      <w:pPr>
        <w:pStyle w:val="ListBullet"/>
        <w:spacing w:line="360" w:lineRule="auto"/>
      </w:pPr>
      <w:r>
        <w:rPr>
          <w:rFonts w:ascii="Times New Roman" w:hAnsi="Times New Roman"/>
          <w:sz w:val="24"/>
        </w:rPr>
        <w:t>Código-fonte: pipeline em Python (pipeline.py) e notebook completo (Projeto_Final_ML.ipynb).</w:t>
      </w:r>
    </w:p>
    <w:p>
      <w:pPr>
        <w:pStyle w:val="ListBullet"/>
        <w:spacing w:line="360" w:lineRule="auto"/>
      </w:pPr>
      <w:r>
        <w:rPr>
          <w:rFonts w:ascii="Times New Roman" w:hAnsi="Times New Roman"/>
          <w:sz w:val="24"/>
        </w:rPr>
        <w:t>Notebook Google Colab com a execução completa do projeto (dados, EDA, pré-processamento, treino, avaliação).</w:t>
      </w:r>
    </w:p>
    <w:p>
      <w:pPr>
        <w:pStyle w:val="ListBullet"/>
        <w:spacing w:line="360" w:lineRule="auto"/>
      </w:pPr>
      <w:r>
        <w:rPr>
          <w:rFonts w:ascii="Times New Roman" w:hAnsi="Times New Roman"/>
          <w:sz w:val="24"/>
        </w:rPr>
        <w:t>Apresentação de slides para a defesa oral (a preparar).</w:t>
      </w:r>
    </w:p>
    <w:p>
      <w:pPr>
        <w:pStyle w:val="Heading2"/>
      </w:pPr>
      <w:r>
        <w:t>5.2. Cronograma</w:t>
      </w:r>
    </w:p>
    <w:tbl>
      <w:tblPr>
        <w:tblStyle w:val="LightGrid-Accent1"/>
        <w:tblW w:type="auto" w:w="0"/>
        <w:tblLook w:firstColumn="1" w:firstRow="1" w:lastColumn="0" w:lastRow="0" w:noHBand="0" w:noVBand="1" w:val="04A0"/>
      </w:tblPr>
      <w:tblGrid>
        <w:gridCol w:w="4702"/>
        <w:gridCol w:w="4702"/>
      </w:tblGrid>
      <w:tr>
        <w:tc>
          <w:tcPr>
            <w:tcW w:type="dxa" w:w="4702"/>
            <w:vAlign w:val="center"/>
          </w:tcPr>
          <w:p>
            <w:r/>
            <w:r>
              <w:rPr>
                <w:rFonts w:ascii="Times New Roman" w:hAnsi="Times New Roman"/>
                <w:b/>
                <w:sz w:val="22"/>
              </w:rPr>
              <w:t>Etapa</w:t>
            </w:r>
          </w:p>
        </w:tc>
        <w:tc>
          <w:tcPr>
            <w:tcW w:type="dxa" w:w="4702"/>
            <w:vAlign w:val="center"/>
          </w:tcPr>
          <w:p>
            <w:r/>
            <w:r>
              <w:rPr>
                <w:rFonts w:ascii="Times New Roman" w:hAnsi="Times New Roman"/>
                <w:b/>
                <w:sz w:val="22"/>
              </w:rPr>
              <w:t>Data</w:t>
            </w:r>
          </w:p>
        </w:tc>
      </w:tr>
      <w:tr>
        <w:tc>
          <w:tcPr>
            <w:tcW w:type="dxa" w:w="4702"/>
          </w:tcPr>
          <w:p>
            <w:r/>
            <w:r>
              <w:rPr>
                <w:rFonts w:ascii="Times New Roman" w:hAnsi="Times New Roman"/>
                <w:sz w:val="22"/>
              </w:rPr>
              <w:t>Estruturação do projeto e pipeline de regressão (Modelo A e B)</w:t>
            </w:r>
          </w:p>
        </w:tc>
        <w:tc>
          <w:tcPr>
            <w:tcW w:type="dxa" w:w="4702"/>
          </w:tcPr>
          <w:p>
            <w:r/>
            <w:r>
              <w:rPr>
                <w:rFonts w:ascii="Times New Roman" w:hAnsi="Times New Roman"/>
                <w:sz w:val="22"/>
              </w:rPr>
              <w:t>Concluído</w:t>
            </w:r>
          </w:p>
        </w:tc>
      </w:tr>
      <w:tr>
        <w:tc>
          <w:tcPr>
            <w:tcW w:type="dxa" w:w="4702"/>
          </w:tcPr>
          <w:p>
            <w:r/>
            <w:r>
              <w:rPr>
                <w:rFonts w:ascii="Times New Roman" w:hAnsi="Times New Roman"/>
                <w:sz w:val="22"/>
              </w:rPr>
              <w:t>Avaliação 02 da disciplina</w:t>
            </w:r>
          </w:p>
        </w:tc>
        <w:tc>
          <w:tcPr>
            <w:tcW w:type="dxa" w:w="4702"/>
          </w:tcPr>
          <w:p>
            <w:r/>
            <w:r>
              <w:rPr>
                <w:rFonts w:ascii="Times New Roman" w:hAnsi="Times New Roman"/>
                <w:sz w:val="22"/>
              </w:rPr>
              <w:t>06/11/2026</w:t>
            </w:r>
          </w:p>
        </w:tc>
      </w:tr>
      <w:tr>
        <w:tc>
          <w:tcPr>
            <w:tcW w:type="dxa" w:w="4702"/>
          </w:tcPr>
          <w:p>
            <w:r/>
            <w:r>
              <w:rPr>
                <w:rFonts w:ascii="Times New Roman" w:hAnsi="Times New Roman"/>
                <w:sz w:val="22"/>
              </w:rPr>
              <w:t>Inclusão de classificação (cliente de alto potencial) e K-Means, após conteúdo em aula</w:t>
            </w:r>
          </w:p>
        </w:tc>
        <w:tc>
          <w:tcPr>
            <w:tcW w:type="dxa" w:w="4702"/>
          </w:tcPr>
          <w:p>
            <w:r/>
            <w:r>
              <w:rPr>
                <w:rFonts w:ascii="Times New Roman" w:hAnsi="Times New Roman"/>
                <w:sz w:val="22"/>
              </w:rPr>
              <w:t>A definir</w:t>
            </w:r>
          </w:p>
        </w:tc>
      </w:tr>
      <w:tr>
        <w:tc>
          <w:tcPr>
            <w:tcW w:type="dxa" w:w="4702"/>
          </w:tcPr>
          <w:p>
            <w:r/>
            <w:r>
              <w:rPr>
                <w:rFonts w:ascii="Times New Roman" w:hAnsi="Times New Roman"/>
                <w:sz w:val="22"/>
              </w:rPr>
              <w:t>Preparação dos slides e ensaio da apresentação</w:t>
            </w:r>
          </w:p>
        </w:tc>
        <w:tc>
          <w:tcPr>
            <w:tcW w:type="dxa" w:w="4702"/>
          </w:tcPr>
          <w:p>
            <w:r/>
            <w:r>
              <w:rPr>
                <w:rFonts w:ascii="Times New Roman" w:hAnsi="Times New Roman"/>
                <w:sz w:val="22"/>
              </w:rPr>
              <w:t>Até 20/11/2026</w:t>
            </w:r>
          </w:p>
        </w:tc>
      </w:tr>
      <w:tr>
        <w:tc>
          <w:tcPr>
            <w:tcW w:type="dxa" w:w="4702"/>
          </w:tcPr>
          <w:p>
            <w:r/>
            <w:r>
              <w:rPr>
                <w:rFonts w:ascii="Times New Roman" w:hAnsi="Times New Roman"/>
                <w:sz w:val="22"/>
              </w:rPr>
              <w:t>Avaliação 03: apresentação e entrega do trabalho final</w:t>
            </w:r>
          </w:p>
        </w:tc>
        <w:tc>
          <w:tcPr>
            <w:tcW w:type="dxa" w:w="4702"/>
          </w:tcPr>
          <w:p>
            <w:r/>
            <w:r>
              <w:rPr>
                <w:rFonts w:ascii="Times New Roman" w:hAnsi="Times New Roman"/>
                <w:sz w:val="22"/>
              </w:rPr>
              <w:t>27/11/2026</w:t>
            </w:r>
          </w:p>
        </w:tc>
      </w:tr>
    </w:tbl>
    <w:p>
      <w:pPr>
        <w:spacing w:after="120"/>
      </w:pP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