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B67" w:rsidRDefault="00AD3B67" w:rsidP="00C62FAC">
      <w:pPr>
        <w:pStyle w:val="Ttulo1"/>
        <w:divId w:val="1534617208"/>
        <w:rPr>
          <w:rFonts w:ascii="Times New Roman" w:hAnsi="Times New Roman" w:cs="Times New Roman"/>
          <w:sz w:val="22"/>
          <w:szCs w:val="24"/>
        </w:rPr>
      </w:pPr>
      <w:bookmarkStart w:id="0" w:name="_GoBack"/>
      <w:bookmarkEnd w:id="0"/>
      <w:r w:rsidRPr="009A569F">
        <w:rPr>
          <w:rFonts w:ascii="Times New Roman" w:hAnsi="Times New Roman" w:cs="Times New Roman"/>
          <w:sz w:val="22"/>
          <w:szCs w:val="24"/>
        </w:rPr>
        <w:t>RESOLUÇÃO DA DIRETORIA COLEGIADA - RDC Nº 15, DE 26 DE MARÇO DE 2013</w:t>
      </w:r>
    </w:p>
    <w:p w:rsidR="00C62FAC" w:rsidRPr="00C62FAC" w:rsidRDefault="00C62FAC" w:rsidP="00C62FAC">
      <w:pPr>
        <w:pStyle w:val="Ttulo1"/>
        <w:divId w:val="1534617208"/>
        <w:rPr>
          <w:rFonts w:ascii="Times New Roman" w:hAnsi="Times New Roman" w:cs="Times New Roman"/>
          <w:color w:val="0000FF"/>
          <w:sz w:val="24"/>
          <w:szCs w:val="24"/>
        </w:rPr>
      </w:pPr>
      <w:r w:rsidRPr="00C62FAC">
        <w:rPr>
          <w:rFonts w:ascii="Times New Roman" w:hAnsi="Times New Roman" w:cs="Times New Roman"/>
          <w:caps w:val="0"/>
          <w:color w:val="0000FF"/>
          <w:sz w:val="24"/>
          <w:szCs w:val="24"/>
        </w:rPr>
        <w:t>(Publicada em DOU nº 59, de 27 de março de 2013)</w:t>
      </w:r>
    </w:p>
    <w:p w:rsidR="00AD3B67" w:rsidRPr="009A569F" w:rsidRDefault="00AD3B67" w:rsidP="009A569F">
      <w:pPr>
        <w:autoSpaceDE w:val="0"/>
        <w:autoSpaceDN w:val="0"/>
        <w:adjustRightInd w:val="0"/>
        <w:ind w:left="4248"/>
        <w:jc w:val="both"/>
        <w:divId w:val="1534617208"/>
      </w:pPr>
      <w:r w:rsidRPr="009A569F">
        <w:t>Aprova o Regulamento Técnico “</w:t>
      </w:r>
      <w:r w:rsidRPr="009A569F">
        <w:rPr>
          <w:bCs/>
        </w:rPr>
        <w:t>LISTA DE SUBSTÂNCIAS DE USO COSMÉTICO:</w:t>
      </w:r>
      <w:r w:rsidRPr="009A569F">
        <w:t xml:space="preserve"> ACETATO DE CHUMBO, PIROGALOL, FORMALDEÍDO E PARAFORMALDEÍDO” e dá outras providências.</w:t>
      </w:r>
    </w:p>
    <w:p w:rsidR="00AD3B67" w:rsidRPr="009A569F" w:rsidRDefault="00AD3B67" w:rsidP="00AD3B67">
      <w:pPr>
        <w:ind w:firstLine="567"/>
        <w:jc w:val="both"/>
        <w:divId w:val="1534617208"/>
      </w:pPr>
      <w:r w:rsidRPr="009A569F">
        <w:t xml:space="preserve">A </w:t>
      </w:r>
      <w:r w:rsidRPr="009A569F">
        <w:rPr>
          <w:b/>
          <w:bCs/>
        </w:rPr>
        <w:t>Diretoria Colegiada da Agência Nacional de Vigilância Sanitária</w:t>
      </w:r>
      <w:r w:rsidRPr="009A569F">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19 de março de 2013, adota a seguinte Resolução da Diretoria Colegiada e eu, Diretor-Presidente, determino a sua publicação:</w:t>
      </w:r>
    </w:p>
    <w:p w:rsidR="00AD3B67" w:rsidRPr="009A569F" w:rsidRDefault="00AD3B67" w:rsidP="00AD3B67">
      <w:pPr>
        <w:autoSpaceDE w:val="0"/>
        <w:autoSpaceDN w:val="0"/>
        <w:adjustRightInd w:val="0"/>
        <w:ind w:firstLine="567"/>
        <w:jc w:val="both"/>
        <w:divId w:val="1534617208"/>
      </w:pPr>
      <w:r w:rsidRPr="009A569F">
        <w:t>Art. 1º Fica aprovado o Regulamento Técnico que estabalece a “LISTA DE SUBSTÂNCIAS DE USO COSMÉTICO” nos termos da Resolução GMC Nº 48/2010, e a regulamentação brasileira do uso e restrições aplicadas ao acetato de chumbo, pirogalol, formaldeído e paraformaldeído em produtos de higiene pessoal, cosméticos e perfumes, que constam, respectivamente, como Adendo I e II da presente Resolução.</w:t>
      </w:r>
    </w:p>
    <w:p w:rsidR="00AD3B67" w:rsidRPr="009A569F" w:rsidRDefault="00AD3B67" w:rsidP="00AD3B67">
      <w:pPr>
        <w:autoSpaceDE w:val="0"/>
        <w:autoSpaceDN w:val="0"/>
        <w:adjustRightInd w:val="0"/>
        <w:ind w:firstLine="567"/>
        <w:jc w:val="both"/>
        <w:divId w:val="1534617208"/>
      </w:pPr>
      <w:r w:rsidRPr="009A569F">
        <w:t xml:space="preserve">Art. 2º Este Regulamento incorpora ao ordenamento jurídico nacional a Resolução GMC MERCOSUL Nº. 48/2010 “Lista de Substâncias de Uso Cosmético” e dá providências quanto às condições e restrições de uso do acetato de chumbo, pirogalol, formaldeído e paraformaldeído em produtos de higiene pessoal, cosméticos e perfumes. </w:t>
      </w:r>
    </w:p>
    <w:p w:rsidR="00AD3B67" w:rsidRPr="009A569F" w:rsidRDefault="00AD3B67" w:rsidP="00AD3B67">
      <w:pPr>
        <w:autoSpaceDE w:val="0"/>
        <w:autoSpaceDN w:val="0"/>
        <w:adjustRightInd w:val="0"/>
        <w:ind w:firstLine="567"/>
        <w:jc w:val="both"/>
        <w:divId w:val="1534617208"/>
      </w:pPr>
      <w:r w:rsidRPr="009A569F">
        <w:t>Art. 3º O descumprimento das disposições contidas nesta Resolução e no regulamento por ela aprovado constitui infração sanitária, nos termos da Lei n. 6.437, de 20 de agosto de 1977, sem prejuízo das responsabilidades civil, administrativa e penal cabíveis.</w:t>
      </w:r>
    </w:p>
    <w:p w:rsidR="00AD3B67" w:rsidRPr="009A569F" w:rsidRDefault="00AD3B67" w:rsidP="00AD3B67">
      <w:pPr>
        <w:autoSpaceDE w:val="0"/>
        <w:autoSpaceDN w:val="0"/>
        <w:adjustRightInd w:val="0"/>
        <w:ind w:firstLine="567"/>
        <w:jc w:val="both"/>
        <w:divId w:val="1534617208"/>
      </w:pPr>
      <w:r w:rsidRPr="009A569F">
        <w:t>Art. 4º Ficam revogados o item 13 e a Lista Provisória II constantes da Resolução nº 215, de 25 de julho de 2005, (DOU de 26/07/2005) e o item 5 da Resolução RDC  nº 162 de 11 de setembro de 2001, (DOU de 02/10/2001).</w:t>
      </w:r>
    </w:p>
    <w:p w:rsidR="00AD3B67" w:rsidRPr="009A569F" w:rsidRDefault="00AD3B67" w:rsidP="00AD3B67">
      <w:pPr>
        <w:autoSpaceDE w:val="0"/>
        <w:autoSpaceDN w:val="0"/>
        <w:adjustRightInd w:val="0"/>
        <w:ind w:firstLine="567"/>
        <w:jc w:val="both"/>
        <w:divId w:val="1534617208"/>
      </w:pPr>
      <w:r w:rsidRPr="009A569F">
        <w:t>Art. 5º Esta Resolução entra em vigor na data de sua publicação.</w:t>
      </w:r>
    </w:p>
    <w:p w:rsidR="00AD3B67" w:rsidRPr="009A569F" w:rsidRDefault="00AD3B67" w:rsidP="00AD3B67">
      <w:pPr>
        <w:pStyle w:val="Ttulo2"/>
        <w:divId w:val="1534617208"/>
        <w:rPr>
          <w:rFonts w:ascii="Times New Roman" w:hAnsi="Times New Roman" w:cs="Times New Roman"/>
          <w:sz w:val="24"/>
          <w:szCs w:val="24"/>
        </w:rPr>
      </w:pPr>
      <w:r w:rsidRPr="009A569F">
        <w:rPr>
          <w:rFonts w:ascii="Times New Roman" w:hAnsi="Times New Roman" w:cs="Times New Roman"/>
          <w:sz w:val="24"/>
          <w:szCs w:val="24"/>
        </w:rPr>
        <w:t>DIRCEU BRAS APARECIDO BARBANO</w:t>
      </w:r>
    </w:p>
    <w:p w:rsidR="00C62FAC" w:rsidRDefault="00C62FAC" w:rsidP="00AD3B67">
      <w:pPr>
        <w:pStyle w:val="Ttulo1"/>
        <w:tabs>
          <w:tab w:val="left" w:pos="0"/>
        </w:tabs>
        <w:divId w:val="1534617208"/>
        <w:rPr>
          <w:rFonts w:ascii="Times New Roman" w:hAnsi="Times New Roman" w:cs="Times New Roman"/>
          <w:sz w:val="24"/>
          <w:szCs w:val="24"/>
        </w:rPr>
      </w:pPr>
    </w:p>
    <w:p w:rsidR="00C62FAC" w:rsidRDefault="00C62FAC" w:rsidP="00AD3B67">
      <w:pPr>
        <w:pStyle w:val="Ttulo1"/>
        <w:tabs>
          <w:tab w:val="left" w:pos="0"/>
        </w:tabs>
        <w:divId w:val="1534617208"/>
        <w:rPr>
          <w:rFonts w:ascii="Times New Roman" w:hAnsi="Times New Roman" w:cs="Times New Roman"/>
          <w:sz w:val="24"/>
          <w:szCs w:val="24"/>
        </w:rPr>
      </w:pPr>
    </w:p>
    <w:p w:rsidR="00AD3B67" w:rsidRPr="009A569F" w:rsidRDefault="00AD3B67" w:rsidP="00AD3B67">
      <w:pPr>
        <w:pStyle w:val="Ttulo1"/>
        <w:tabs>
          <w:tab w:val="left" w:pos="0"/>
        </w:tabs>
        <w:divId w:val="1534617208"/>
        <w:rPr>
          <w:rFonts w:ascii="Times New Roman" w:hAnsi="Times New Roman" w:cs="Times New Roman"/>
          <w:sz w:val="24"/>
          <w:szCs w:val="24"/>
        </w:rPr>
      </w:pPr>
      <w:r w:rsidRPr="009A569F">
        <w:rPr>
          <w:rFonts w:ascii="Times New Roman" w:hAnsi="Times New Roman" w:cs="Times New Roman"/>
          <w:sz w:val="24"/>
          <w:szCs w:val="24"/>
        </w:rPr>
        <w:t>Adendo I</w:t>
      </w:r>
    </w:p>
    <w:p w:rsidR="00AD3B67" w:rsidRPr="009A569F" w:rsidRDefault="00AD3B67" w:rsidP="00AD3B67">
      <w:pPr>
        <w:jc w:val="center"/>
        <w:divId w:val="1534617208"/>
        <w:rPr>
          <w:b/>
          <w:bCs/>
        </w:rPr>
      </w:pPr>
      <w:r w:rsidRPr="009A569F">
        <w:rPr>
          <w:b/>
          <w:bCs/>
        </w:rPr>
        <w:t>LISTA DE SUBSTÂNCIAS DE USO COSMÉTICO</w:t>
      </w:r>
    </w:p>
    <w:p w:rsidR="00AD3B67" w:rsidRPr="009A569F" w:rsidRDefault="00AD3B67" w:rsidP="00AD3B67">
      <w:pPr>
        <w:ind w:firstLine="709"/>
        <w:jc w:val="both"/>
        <w:divId w:val="1534617208"/>
      </w:pPr>
      <w:r w:rsidRPr="009A569F">
        <w:rPr>
          <w:b/>
          <w:bCs/>
        </w:rPr>
        <w:t>TENDO EM VISTA:</w:t>
      </w:r>
      <w:r w:rsidRPr="009A569F">
        <w:t xml:space="preserve"> O Tratado de Assunção, o Protocolo de Ouro Preto e as Resoluções Nº 110/94, 133/96, 04/99, 72/00, 25/05, 26/05, 29/05 e 51/08 do Grupo Mercado Comum.</w:t>
      </w:r>
    </w:p>
    <w:p w:rsidR="00AD3B67" w:rsidRPr="009A569F" w:rsidRDefault="00AD3B67" w:rsidP="00AD3B67">
      <w:pPr>
        <w:jc w:val="both"/>
        <w:divId w:val="1534617208"/>
        <w:rPr>
          <w:b/>
          <w:bCs/>
        </w:rPr>
      </w:pPr>
      <w:r w:rsidRPr="009A569F">
        <w:rPr>
          <w:b/>
          <w:bCs/>
        </w:rPr>
        <w:t xml:space="preserve">CONSIDERANDO: </w:t>
      </w:r>
    </w:p>
    <w:p w:rsidR="00AD3B67" w:rsidRPr="009A569F" w:rsidRDefault="00AD3B67" w:rsidP="00AD3B67">
      <w:pPr>
        <w:ind w:firstLine="567"/>
        <w:jc w:val="both"/>
        <w:divId w:val="1534617208"/>
      </w:pPr>
      <w:r w:rsidRPr="009A569F">
        <w:t>Que os produtos de higiene pessoal, cosméticos e perfumes devem ser seguros sob as condições normais ou previsíveis de uso;</w:t>
      </w:r>
    </w:p>
    <w:p w:rsidR="00AD3B67" w:rsidRPr="009A569F" w:rsidRDefault="00AD3B67" w:rsidP="00AD3B67">
      <w:pPr>
        <w:ind w:firstLine="567"/>
        <w:jc w:val="both"/>
        <w:divId w:val="1534617208"/>
      </w:pPr>
      <w:r w:rsidRPr="009A569F">
        <w:t>Que é necessária a atualização periódica das listas a fim de assegurar a correta utilização das matérias primas na fabricação de produtos de higiene pessoal, cosméticos e perfumes.</w:t>
      </w:r>
    </w:p>
    <w:p w:rsidR="00AD3B67" w:rsidRPr="009A569F" w:rsidRDefault="00AD3B67" w:rsidP="00C62FAC">
      <w:pPr>
        <w:spacing w:before="0" w:beforeAutospacing="0" w:after="0" w:afterAutospacing="0"/>
        <w:divId w:val="1534617208"/>
        <w:rPr>
          <w:b/>
          <w:bCs/>
        </w:rPr>
      </w:pPr>
      <w:r w:rsidRPr="009A569F">
        <w:rPr>
          <w:b/>
          <w:bCs/>
        </w:rPr>
        <w:t xml:space="preserve">O GRUPO MERCADO COMUM </w:t>
      </w:r>
    </w:p>
    <w:p w:rsidR="00AD3B67" w:rsidRPr="009A569F" w:rsidRDefault="00AD3B67" w:rsidP="00C62FAC">
      <w:pPr>
        <w:tabs>
          <w:tab w:val="left" w:pos="3240"/>
        </w:tabs>
        <w:spacing w:before="0" w:beforeAutospacing="0" w:after="0" w:afterAutospacing="0"/>
        <w:divId w:val="1534617208"/>
        <w:rPr>
          <w:b/>
          <w:bCs/>
        </w:rPr>
      </w:pPr>
      <w:r w:rsidRPr="009A569F">
        <w:rPr>
          <w:b/>
          <w:bCs/>
        </w:rPr>
        <w:t xml:space="preserve">RESOLVE: </w:t>
      </w:r>
    </w:p>
    <w:p w:rsidR="00AD3B67" w:rsidRPr="009A569F" w:rsidRDefault="00AD3B67" w:rsidP="00AD3B67">
      <w:pPr>
        <w:pStyle w:val="Corpodetexto"/>
        <w:tabs>
          <w:tab w:val="left" w:pos="709"/>
        </w:tabs>
        <w:ind w:firstLine="567"/>
        <w:divId w:val="1534617208"/>
      </w:pPr>
      <w:r w:rsidRPr="009A569F">
        <w:t>Art. 1º - Aplicar o Artigo 8º da Resolução GMC N° 51/08 “Critérios e Mecanismo para a Atualização das Listas MERCOSUL de Substâncias em Produtos de Higiene Pessoal, Cosméticos e Perfumes” às substâncias abaixo listadas:</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
        <w:gridCol w:w="4108"/>
      </w:tblGrid>
      <w:tr w:rsidR="00AD3B67" w:rsidRPr="009A569F" w:rsidTr="00AD3B67">
        <w:trPr>
          <w:divId w:val="1534617208"/>
          <w:jc w:val="center"/>
        </w:trPr>
        <w:tc>
          <w:tcPr>
            <w:tcW w:w="428" w:type="dxa"/>
          </w:tcPr>
          <w:p w:rsidR="00AD3B67" w:rsidRPr="009A569F" w:rsidRDefault="00AD3B67" w:rsidP="00AB5C14">
            <w:pPr>
              <w:jc w:val="center"/>
            </w:pPr>
          </w:p>
        </w:tc>
        <w:tc>
          <w:tcPr>
            <w:tcW w:w="4108" w:type="dxa"/>
          </w:tcPr>
          <w:p w:rsidR="00AD3B67" w:rsidRPr="009A569F" w:rsidRDefault="00AD3B67" w:rsidP="00AB5C14">
            <w:pPr>
              <w:jc w:val="center"/>
            </w:pPr>
            <w:r w:rsidRPr="009A569F">
              <w:t>SUBSTÂNCIA</w:t>
            </w:r>
          </w:p>
        </w:tc>
      </w:tr>
      <w:tr w:rsidR="00AD3B67" w:rsidRPr="009A569F" w:rsidTr="00AD3B67">
        <w:trPr>
          <w:divId w:val="1534617208"/>
          <w:jc w:val="center"/>
        </w:trPr>
        <w:tc>
          <w:tcPr>
            <w:tcW w:w="428" w:type="dxa"/>
          </w:tcPr>
          <w:p w:rsidR="00AD3B67" w:rsidRPr="009A569F" w:rsidRDefault="00AD3B67" w:rsidP="00AB5C14">
            <w:r w:rsidRPr="009A569F">
              <w:t>1</w:t>
            </w:r>
          </w:p>
        </w:tc>
        <w:tc>
          <w:tcPr>
            <w:tcW w:w="4108" w:type="dxa"/>
          </w:tcPr>
          <w:p w:rsidR="00AD3B67" w:rsidRPr="009A569F" w:rsidRDefault="00AD3B67" w:rsidP="00AB5C14">
            <w:r w:rsidRPr="009A569F">
              <w:t>Acetato de chumbo</w:t>
            </w:r>
          </w:p>
        </w:tc>
      </w:tr>
      <w:tr w:rsidR="00AD3B67" w:rsidRPr="009A569F" w:rsidTr="00AD3B67">
        <w:trPr>
          <w:divId w:val="1534617208"/>
          <w:jc w:val="center"/>
        </w:trPr>
        <w:tc>
          <w:tcPr>
            <w:tcW w:w="428" w:type="dxa"/>
          </w:tcPr>
          <w:p w:rsidR="00AD3B67" w:rsidRPr="009A569F" w:rsidRDefault="00AD3B67" w:rsidP="00AB5C14">
            <w:r w:rsidRPr="009A569F">
              <w:t>2</w:t>
            </w:r>
          </w:p>
        </w:tc>
        <w:tc>
          <w:tcPr>
            <w:tcW w:w="4108" w:type="dxa"/>
          </w:tcPr>
          <w:p w:rsidR="00AD3B67" w:rsidRPr="009A569F" w:rsidRDefault="00AD3B67" w:rsidP="00AB5C14">
            <w:r w:rsidRPr="009A569F">
              <w:t>Pirogalol</w:t>
            </w:r>
          </w:p>
        </w:tc>
      </w:tr>
      <w:tr w:rsidR="00AD3B67" w:rsidRPr="009A569F" w:rsidTr="00AD3B67">
        <w:trPr>
          <w:divId w:val="1534617208"/>
          <w:jc w:val="center"/>
        </w:trPr>
        <w:tc>
          <w:tcPr>
            <w:tcW w:w="428" w:type="dxa"/>
          </w:tcPr>
          <w:p w:rsidR="00AD3B67" w:rsidRPr="009A569F" w:rsidRDefault="00AD3B67" w:rsidP="00AB5C14">
            <w:r w:rsidRPr="009A569F">
              <w:t>3</w:t>
            </w:r>
          </w:p>
        </w:tc>
        <w:tc>
          <w:tcPr>
            <w:tcW w:w="4108" w:type="dxa"/>
          </w:tcPr>
          <w:p w:rsidR="00AD3B67" w:rsidRPr="009A569F" w:rsidRDefault="00AD3B67" w:rsidP="00AB5C14">
            <w:r w:rsidRPr="009A569F">
              <w:t>Formaldeído e paraformaldeído</w:t>
            </w:r>
          </w:p>
        </w:tc>
      </w:tr>
    </w:tbl>
    <w:p w:rsidR="00AD3B67" w:rsidRPr="009A569F" w:rsidRDefault="00AD3B67" w:rsidP="00AD3B67">
      <w:pPr>
        <w:tabs>
          <w:tab w:val="left" w:pos="3240"/>
        </w:tabs>
        <w:ind w:firstLine="567"/>
        <w:jc w:val="both"/>
        <w:divId w:val="1534617208"/>
      </w:pPr>
      <w:r w:rsidRPr="009A569F">
        <w:t>Art. 2º - O uso das substâncias listadas no artigo 1º será regulamentado por cada Estado Parte, devendo ser respeitadas as condições estabelecidas por cada um deles.</w:t>
      </w:r>
    </w:p>
    <w:p w:rsidR="00AD3B67" w:rsidRPr="009A569F" w:rsidRDefault="00AD3B67" w:rsidP="00AD3B67">
      <w:pPr>
        <w:pStyle w:val="NormalWeb"/>
        <w:divId w:val="1534617208"/>
        <w:rPr>
          <w:rFonts w:ascii="Times New Roman" w:hAnsi="Times New Roman" w:cs="Times New Roman"/>
          <w:color w:val="auto"/>
          <w:sz w:val="24"/>
          <w:szCs w:val="24"/>
        </w:rPr>
      </w:pPr>
      <w:r w:rsidRPr="009A569F">
        <w:rPr>
          <w:rFonts w:ascii="Times New Roman" w:hAnsi="Times New Roman" w:cs="Times New Roman"/>
          <w:color w:val="auto"/>
          <w:sz w:val="24"/>
          <w:szCs w:val="24"/>
        </w:rPr>
        <w:t>Art. 3° - Os organismos nacionais competentes para a implementação da presente Resolução são:</w:t>
      </w:r>
    </w:p>
    <w:p w:rsidR="00AD3B67" w:rsidRPr="009A569F" w:rsidRDefault="00AD3B67" w:rsidP="00C62FAC">
      <w:pPr>
        <w:pStyle w:val="NormalWeb"/>
        <w:spacing w:before="0" w:beforeAutospacing="0" w:after="0" w:afterAutospacing="0"/>
        <w:divId w:val="1534617208"/>
        <w:rPr>
          <w:rFonts w:ascii="Times New Roman" w:hAnsi="Times New Roman" w:cs="Times New Roman"/>
          <w:color w:val="auto"/>
          <w:sz w:val="24"/>
          <w:szCs w:val="24"/>
          <w:lang w:val="es-ES"/>
        </w:rPr>
      </w:pPr>
      <w:r w:rsidRPr="009A569F">
        <w:rPr>
          <w:rFonts w:ascii="Times New Roman" w:hAnsi="Times New Roman" w:cs="Times New Roman"/>
          <w:color w:val="auto"/>
          <w:sz w:val="24"/>
          <w:szCs w:val="24"/>
          <w:lang w:val="es-ES"/>
        </w:rPr>
        <w:t>Argentina:      Administración Nacional de Medicamentos, Alimentos y Tecnología Médica -  (ANMAT)</w:t>
      </w:r>
    </w:p>
    <w:p w:rsidR="00AD3B67" w:rsidRPr="009A569F" w:rsidRDefault="00AD3B67" w:rsidP="00C62FAC">
      <w:pPr>
        <w:pStyle w:val="NormalWeb"/>
        <w:spacing w:before="0" w:beforeAutospacing="0" w:after="0" w:afterAutospacing="0"/>
        <w:divId w:val="1534617208"/>
        <w:rPr>
          <w:rFonts w:ascii="Times New Roman" w:hAnsi="Times New Roman" w:cs="Times New Roman"/>
          <w:color w:val="auto"/>
          <w:sz w:val="24"/>
          <w:szCs w:val="24"/>
        </w:rPr>
      </w:pPr>
      <w:r w:rsidRPr="009A569F">
        <w:rPr>
          <w:rFonts w:ascii="Times New Roman" w:hAnsi="Times New Roman" w:cs="Times New Roman"/>
          <w:color w:val="auto"/>
          <w:sz w:val="24"/>
          <w:szCs w:val="24"/>
        </w:rPr>
        <w:t>Brasil:             Agência Nacional de Vigilância Sanitária - (ANVISA)</w:t>
      </w:r>
    </w:p>
    <w:p w:rsidR="00AD3B67" w:rsidRPr="009A569F" w:rsidRDefault="00AD3B67" w:rsidP="00C62FAC">
      <w:pPr>
        <w:pStyle w:val="NormalWeb"/>
        <w:spacing w:before="0" w:beforeAutospacing="0" w:after="0" w:afterAutospacing="0"/>
        <w:divId w:val="1534617208"/>
        <w:rPr>
          <w:rFonts w:ascii="Times New Roman" w:hAnsi="Times New Roman" w:cs="Times New Roman"/>
          <w:color w:val="auto"/>
          <w:sz w:val="24"/>
          <w:szCs w:val="24"/>
        </w:rPr>
      </w:pPr>
      <w:r w:rsidRPr="009A569F">
        <w:rPr>
          <w:rFonts w:ascii="Times New Roman" w:hAnsi="Times New Roman" w:cs="Times New Roman"/>
          <w:color w:val="auto"/>
          <w:sz w:val="24"/>
          <w:szCs w:val="24"/>
        </w:rPr>
        <w:t>Paraguai:    Ministerio de Salud Pública y Bienestar Social (MSPyBS) / Dirección Nacional de Vigilancia Sanitaria</w:t>
      </w:r>
    </w:p>
    <w:p w:rsidR="00AD3B67" w:rsidRPr="009A569F" w:rsidRDefault="00AD3B67" w:rsidP="00C62FAC">
      <w:pPr>
        <w:pStyle w:val="NormalWeb"/>
        <w:spacing w:before="0" w:beforeAutospacing="0" w:after="0" w:afterAutospacing="0"/>
        <w:divId w:val="1534617208"/>
        <w:rPr>
          <w:rFonts w:ascii="Times New Roman" w:hAnsi="Times New Roman" w:cs="Times New Roman"/>
          <w:color w:val="auto"/>
          <w:sz w:val="24"/>
          <w:szCs w:val="24"/>
        </w:rPr>
      </w:pPr>
      <w:r w:rsidRPr="009A569F">
        <w:rPr>
          <w:rFonts w:ascii="Times New Roman" w:hAnsi="Times New Roman" w:cs="Times New Roman"/>
          <w:color w:val="auto"/>
          <w:sz w:val="24"/>
          <w:szCs w:val="24"/>
        </w:rPr>
        <w:t>Uruguai:         Ministerio de Salud Pública - (MSP)</w:t>
      </w:r>
    </w:p>
    <w:p w:rsidR="00C62FAC" w:rsidRDefault="00C62FAC" w:rsidP="00AD3B67">
      <w:pPr>
        <w:tabs>
          <w:tab w:val="left" w:pos="3240"/>
        </w:tabs>
        <w:ind w:firstLine="567"/>
        <w:jc w:val="both"/>
        <w:divId w:val="1534617208"/>
      </w:pPr>
    </w:p>
    <w:p w:rsidR="00C62FAC" w:rsidRDefault="00C62FAC" w:rsidP="00AD3B67">
      <w:pPr>
        <w:tabs>
          <w:tab w:val="left" w:pos="3240"/>
        </w:tabs>
        <w:ind w:firstLine="567"/>
        <w:jc w:val="both"/>
        <w:divId w:val="1534617208"/>
      </w:pPr>
    </w:p>
    <w:p w:rsidR="00AD3B67" w:rsidRPr="009A569F" w:rsidRDefault="00AD3B67" w:rsidP="00AD3B67">
      <w:pPr>
        <w:tabs>
          <w:tab w:val="left" w:pos="3240"/>
        </w:tabs>
        <w:ind w:firstLine="567"/>
        <w:jc w:val="both"/>
        <w:divId w:val="1534617208"/>
      </w:pPr>
      <w:r w:rsidRPr="009A569F">
        <w:t>Art. 4º - Esta Resolução deverá ser incorporada ao ordenamento jurídico dos Estados Partes antes de 1º/IV/2011.</w:t>
      </w:r>
    </w:p>
    <w:p w:rsidR="00AD3B67" w:rsidRPr="009A569F" w:rsidRDefault="00AD3B67" w:rsidP="00C62FAC">
      <w:pPr>
        <w:tabs>
          <w:tab w:val="left" w:pos="567"/>
          <w:tab w:val="left" w:pos="1134"/>
        </w:tabs>
        <w:divId w:val="1534617208"/>
        <w:rPr>
          <w:b/>
        </w:rPr>
      </w:pPr>
      <w:r w:rsidRPr="009A569F">
        <w:rPr>
          <w:b/>
        </w:rPr>
        <w:t>LXXXI GMC – Manaus, 1º/X/10.</w:t>
      </w:r>
    </w:p>
    <w:p w:rsidR="00AD3B67" w:rsidRPr="009A569F" w:rsidRDefault="00AD3B67" w:rsidP="00C62FAC">
      <w:pPr>
        <w:tabs>
          <w:tab w:val="left" w:pos="567"/>
          <w:tab w:val="left" w:pos="1134"/>
        </w:tabs>
        <w:jc w:val="center"/>
        <w:divId w:val="1534617208"/>
        <w:rPr>
          <w:b/>
        </w:rPr>
      </w:pPr>
      <w:r w:rsidRPr="009A569F">
        <w:rPr>
          <w:b/>
        </w:rPr>
        <w:t>ADENDO II</w:t>
      </w:r>
    </w:p>
    <w:tbl>
      <w:tblPr>
        <w:tblW w:w="9688"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657"/>
        <w:gridCol w:w="1616"/>
        <w:gridCol w:w="1484"/>
        <w:gridCol w:w="2004"/>
        <w:gridCol w:w="2057"/>
        <w:gridCol w:w="1870"/>
      </w:tblGrid>
      <w:tr w:rsidR="00AD3B67" w:rsidRPr="009A569F" w:rsidTr="00C62FAC">
        <w:trPr>
          <w:divId w:val="1534617208"/>
          <w:trHeight w:val="690"/>
          <w:jc w:val="center"/>
        </w:trPr>
        <w:tc>
          <w:tcPr>
            <w:tcW w:w="657" w:type="dxa"/>
            <w:vMerge w:val="restart"/>
            <w:tcBorders>
              <w:top w:val="outset" w:sz="6" w:space="0" w:color="auto"/>
              <w:right w:val="outset" w:sz="6" w:space="0" w:color="auto"/>
            </w:tcBorders>
          </w:tcPr>
          <w:p w:rsidR="00AD3B67" w:rsidRPr="009A569F" w:rsidRDefault="00AD3B67" w:rsidP="00AB5C14">
            <w:r w:rsidRPr="009A569F">
              <w:t>Nº ORD  </w:t>
            </w:r>
          </w:p>
        </w:tc>
        <w:tc>
          <w:tcPr>
            <w:tcW w:w="1616" w:type="dxa"/>
            <w:vMerge w:val="restart"/>
            <w:tcBorders>
              <w:top w:val="outset" w:sz="6" w:space="0" w:color="auto"/>
              <w:left w:val="outset" w:sz="6" w:space="0" w:color="auto"/>
              <w:right w:val="outset" w:sz="6" w:space="0" w:color="auto"/>
            </w:tcBorders>
          </w:tcPr>
          <w:p w:rsidR="00AD3B67" w:rsidRPr="009A569F" w:rsidRDefault="00AD3B67" w:rsidP="00AB5C14">
            <w:r w:rsidRPr="009A569F">
              <w:t xml:space="preserve">SUBSTÂNCIA </w:t>
            </w:r>
          </w:p>
        </w:tc>
        <w:tc>
          <w:tcPr>
            <w:tcW w:w="1484" w:type="dxa"/>
            <w:vMerge w:val="restart"/>
            <w:tcBorders>
              <w:top w:val="outset" w:sz="6" w:space="0" w:color="auto"/>
              <w:left w:val="outset" w:sz="6" w:space="0" w:color="auto"/>
              <w:right w:val="outset" w:sz="6" w:space="0" w:color="auto"/>
            </w:tcBorders>
          </w:tcPr>
          <w:p w:rsidR="00AD3B67" w:rsidRPr="009A569F" w:rsidRDefault="00AD3B67" w:rsidP="00AB5C14">
            <w:r w:rsidRPr="009A569F">
              <w:t>CAMPO DE APLICAÇÃO E/OU UTILIZAÇÃO</w:t>
            </w:r>
          </w:p>
        </w:tc>
        <w:tc>
          <w:tcPr>
            <w:tcW w:w="2004" w:type="dxa"/>
            <w:vMerge w:val="restart"/>
            <w:tcBorders>
              <w:top w:val="outset" w:sz="6" w:space="0" w:color="auto"/>
              <w:left w:val="outset" w:sz="6" w:space="0" w:color="auto"/>
              <w:right w:val="outset" w:sz="6" w:space="0" w:color="auto"/>
            </w:tcBorders>
          </w:tcPr>
          <w:p w:rsidR="00AD3B67" w:rsidRPr="009A569F" w:rsidRDefault="00AD3B67" w:rsidP="00AB5C14">
            <w:r w:rsidRPr="009A569F">
              <w:t>CONCENTRAÇÃO MÁXIMA AUTORIZADA NO PRODUTO FINAL</w:t>
            </w:r>
          </w:p>
        </w:tc>
        <w:tc>
          <w:tcPr>
            <w:tcW w:w="2057" w:type="dxa"/>
            <w:vMerge w:val="restart"/>
            <w:tcBorders>
              <w:top w:val="outset" w:sz="6" w:space="0" w:color="auto"/>
              <w:left w:val="outset" w:sz="6" w:space="0" w:color="auto"/>
              <w:right w:val="outset" w:sz="6" w:space="0" w:color="auto"/>
            </w:tcBorders>
          </w:tcPr>
          <w:p w:rsidR="00AD3B67" w:rsidRPr="009A569F" w:rsidRDefault="00AD3B67" w:rsidP="00AB5C14">
            <w:r w:rsidRPr="009A569F">
              <w:t>OUTRAS LIMITAÇÕES E REQUERIMENTOS</w:t>
            </w:r>
          </w:p>
        </w:tc>
        <w:tc>
          <w:tcPr>
            <w:tcW w:w="1870" w:type="dxa"/>
            <w:tcBorders>
              <w:top w:val="outset" w:sz="6" w:space="0" w:color="auto"/>
              <w:left w:val="outset" w:sz="6" w:space="0" w:color="auto"/>
              <w:bottom w:val="nil"/>
            </w:tcBorders>
          </w:tcPr>
          <w:p w:rsidR="00AD3B67" w:rsidRPr="009A569F" w:rsidRDefault="00AD3B67" w:rsidP="00AB5C14">
            <w:r w:rsidRPr="009A569F">
              <w:t>CONDIÇÕES DE USO E ADVERTÊNCIAS</w:t>
            </w:r>
          </w:p>
        </w:tc>
      </w:tr>
      <w:tr w:rsidR="00AD3B67" w:rsidRPr="009A569F" w:rsidTr="00C62FAC">
        <w:trPr>
          <w:divId w:val="1534617208"/>
          <w:trHeight w:val="539"/>
          <w:jc w:val="center"/>
        </w:trPr>
        <w:tc>
          <w:tcPr>
            <w:tcW w:w="657" w:type="dxa"/>
            <w:vMerge/>
            <w:tcBorders>
              <w:bottom w:val="outset" w:sz="6" w:space="0" w:color="auto"/>
              <w:right w:val="outset" w:sz="6" w:space="0" w:color="auto"/>
            </w:tcBorders>
          </w:tcPr>
          <w:p w:rsidR="00AD3B67" w:rsidRPr="009A569F" w:rsidRDefault="00AD3B67" w:rsidP="00AB5C14"/>
        </w:tc>
        <w:tc>
          <w:tcPr>
            <w:tcW w:w="1616" w:type="dxa"/>
            <w:vMerge/>
            <w:tcBorders>
              <w:left w:val="outset" w:sz="6" w:space="0" w:color="auto"/>
              <w:bottom w:val="outset" w:sz="6" w:space="0" w:color="auto"/>
              <w:right w:val="outset" w:sz="6" w:space="0" w:color="auto"/>
            </w:tcBorders>
          </w:tcPr>
          <w:p w:rsidR="00AD3B67" w:rsidRPr="009A569F" w:rsidRDefault="00AD3B67" w:rsidP="00AB5C14"/>
        </w:tc>
        <w:tc>
          <w:tcPr>
            <w:tcW w:w="1484" w:type="dxa"/>
            <w:vMerge/>
            <w:tcBorders>
              <w:left w:val="outset" w:sz="6" w:space="0" w:color="auto"/>
              <w:bottom w:val="outset" w:sz="6" w:space="0" w:color="auto"/>
              <w:right w:val="outset" w:sz="6" w:space="0" w:color="auto"/>
            </w:tcBorders>
          </w:tcPr>
          <w:p w:rsidR="00AD3B67" w:rsidRPr="009A569F" w:rsidRDefault="00AD3B67" w:rsidP="00AB5C14"/>
        </w:tc>
        <w:tc>
          <w:tcPr>
            <w:tcW w:w="2004" w:type="dxa"/>
            <w:vMerge/>
            <w:tcBorders>
              <w:left w:val="outset" w:sz="6" w:space="0" w:color="auto"/>
              <w:bottom w:val="outset" w:sz="6" w:space="0" w:color="auto"/>
              <w:right w:val="outset" w:sz="6" w:space="0" w:color="auto"/>
            </w:tcBorders>
          </w:tcPr>
          <w:p w:rsidR="00AD3B67" w:rsidRPr="009A569F" w:rsidRDefault="00AD3B67" w:rsidP="00AB5C14"/>
        </w:tc>
        <w:tc>
          <w:tcPr>
            <w:tcW w:w="2057" w:type="dxa"/>
            <w:vMerge/>
            <w:tcBorders>
              <w:left w:val="outset" w:sz="6" w:space="0" w:color="auto"/>
              <w:bottom w:val="outset" w:sz="6" w:space="0" w:color="auto"/>
              <w:right w:val="outset" w:sz="6" w:space="0" w:color="auto"/>
            </w:tcBorders>
          </w:tcPr>
          <w:p w:rsidR="00AD3B67" w:rsidRPr="009A569F" w:rsidRDefault="00AD3B67" w:rsidP="00AB5C14"/>
        </w:tc>
        <w:tc>
          <w:tcPr>
            <w:tcW w:w="1870" w:type="dxa"/>
            <w:tcBorders>
              <w:top w:val="nil"/>
              <w:left w:val="outset" w:sz="6" w:space="0" w:color="auto"/>
              <w:bottom w:val="outset" w:sz="6" w:space="0" w:color="auto"/>
            </w:tcBorders>
          </w:tcPr>
          <w:p w:rsidR="00AD3B67" w:rsidRPr="009A569F" w:rsidRDefault="00AD3B67" w:rsidP="00AB5C14">
            <w:r w:rsidRPr="009A569F">
              <w:t xml:space="preserve"> QUE DEVEM CONSTAR NO RÓTULO</w:t>
            </w:r>
          </w:p>
          <w:p w:rsidR="00AD3B67" w:rsidRPr="009A569F" w:rsidRDefault="00AD3B67" w:rsidP="00AB5C14">
            <w:r w:rsidRPr="009A569F">
              <w:t> </w:t>
            </w:r>
          </w:p>
        </w:tc>
      </w:tr>
      <w:tr w:rsidR="00AD3B67" w:rsidRPr="009A569F" w:rsidTr="00C62FAC">
        <w:trPr>
          <w:divId w:val="1534617208"/>
          <w:trHeight w:val="630"/>
          <w:jc w:val="center"/>
        </w:trPr>
        <w:tc>
          <w:tcPr>
            <w:tcW w:w="657" w:type="dxa"/>
            <w:vMerge w:val="restart"/>
            <w:tcBorders>
              <w:top w:val="outset" w:sz="6" w:space="0" w:color="auto"/>
              <w:right w:val="outset" w:sz="6" w:space="0" w:color="auto"/>
            </w:tcBorders>
          </w:tcPr>
          <w:p w:rsidR="00AD3B67" w:rsidRPr="009A569F" w:rsidRDefault="00AD3B67" w:rsidP="00AB5C14">
            <w:r w:rsidRPr="009A569F">
              <w:t>1</w:t>
            </w:r>
          </w:p>
        </w:tc>
        <w:tc>
          <w:tcPr>
            <w:tcW w:w="1616" w:type="dxa"/>
            <w:vMerge w:val="restart"/>
            <w:tcBorders>
              <w:top w:val="outset" w:sz="6" w:space="0" w:color="auto"/>
              <w:left w:val="outset" w:sz="6" w:space="0" w:color="auto"/>
              <w:right w:val="outset" w:sz="6" w:space="0" w:color="auto"/>
            </w:tcBorders>
          </w:tcPr>
          <w:p w:rsidR="00AD3B67" w:rsidRPr="009A569F" w:rsidRDefault="00AD3B67" w:rsidP="00AB5C14">
            <w:pPr>
              <w:spacing w:line="280" w:lineRule="atLeast"/>
              <w:jc w:val="both"/>
            </w:pPr>
            <w:r w:rsidRPr="009A569F">
              <w:t>Acetato de chumbo</w:t>
            </w:r>
          </w:p>
        </w:tc>
        <w:tc>
          <w:tcPr>
            <w:tcW w:w="1484" w:type="dxa"/>
            <w:vMerge w:val="restart"/>
            <w:tcBorders>
              <w:top w:val="outset" w:sz="6" w:space="0" w:color="auto"/>
              <w:left w:val="outset" w:sz="6" w:space="0" w:color="auto"/>
              <w:right w:val="outset" w:sz="6" w:space="0" w:color="auto"/>
            </w:tcBorders>
          </w:tcPr>
          <w:p w:rsidR="00AD3B67" w:rsidRPr="009A569F" w:rsidRDefault="00AD3B67" w:rsidP="00AB5C14">
            <w:pPr>
              <w:spacing w:line="280" w:lineRule="atLeast"/>
              <w:jc w:val="both"/>
            </w:pPr>
            <w:r w:rsidRPr="009A569F">
              <w:t>Tintura Capilar</w:t>
            </w:r>
          </w:p>
        </w:tc>
        <w:tc>
          <w:tcPr>
            <w:tcW w:w="2004" w:type="dxa"/>
            <w:vMerge w:val="restart"/>
            <w:tcBorders>
              <w:top w:val="outset" w:sz="6" w:space="0" w:color="auto"/>
              <w:left w:val="outset" w:sz="6" w:space="0" w:color="auto"/>
              <w:right w:val="outset" w:sz="6" w:space="0" w:color="auto"/>
            </w:tcBorders>
          </w:tcPr>
          <w:p w:rsidR="00AD3B67" w:rsidRPr="009A569F" w:rsidRDefault="00AD3B67" w:rsidP="00AB5C14">
            <w:pPr>
              <w:spacing w:line="280" w:lineRule="atLeast"/>
              <w:jc w:val="both"/>
            </w:pPr>
            <w:r w:rsidRPr="009A569F">
              <w:t>0,6%, calculados como chumbo</w:t>
            </w:r>
          </w:p>
        </w:tc>
        <w:tc>
          <w:tcPr>
            <w:tcW w:w="2057" w:type="dxa"/>
            <w:tcBorders>
              <w:top w:val="outset" w:sz="6" w:space="0" w:color="auto"/>
              <w:left w:val="outset" w:sz="6" w:space="0" w:color="auto"/>
              <w:bottom w:val="nil"/>
              <w:right w:val="outset" w:sz="6" w:space="0" w:color="auto"/>
            </w:tcBorders>
          </w:tcPr>
          <w:p w:rsidR="00AD3B67" w:rsidRPr="009A569F" w:rsidRDefault="00AD3B67" w:rsidP="00AB5C14">
            <w:r w:rsidRPr="009A569F">
              <w:rPr>
                <w:b/>
                <w:bCs/>
              </w:rPr>
              <w:t>a)</w:t>
            </w:r>
            <w:r w:rsidRPr="009A569F">
              <w:t xml:space="preserve"> Pureza: acetato de chumbo &gt; 99%.</w:t>
            </w:r>
          </w:p>
          <w:p w:rsidR="00AD3B67" w:rsidRPr="009A569F" w:rsidRDefault="00AD3B67" w:rsidP="00AB5C14"/>
        </w:tc>
        <w:tc>
          <w:tcPr>
            <w:tcW w:w="1870" w:type="dxa"/>
            <w:tcBorders>
              <w:top w:val="outset" w:sz="6" w:space="0" w:color="auto"/>
              <w:left w:val="outset" w:sz="6" w:space="0" w:color="auto"/>
              <w:bottom w:val="nil"/>
            </w:tcBorders>
          </w:tcPr>
          <w:p w:rsidR="00AD3B67" w:rsidRPr="009A569F" w:rsidRDefault="00AD3B67" w:rsidP="00AB5C14">
            <w:r w:rsidRPr="009A569F">
              <w:t>1) Manter fora do alcance de crianças;</w:t>
            </w:r>
          </w:p>
        </w:tc>
      </w:tr>
      <w:tr w:rsidR="00AD3B67" w:rsidRPr="009A569F" w:rsidTr="00C62FAC">
        <w:trPr>
          <w:divId w:val="1534617208"/>
          <w:trHeight w:val="47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val="restart"/>
            <w:tcBorders>
              <w:top w:val="nil"/>
              <w:left w:val="outset" w:sz="6" w:space="0" w:color="auto"/>
              <w:right w:val="outset" w:sz="6" w:space="0" w:color="auto"/>
            </w:tcBorders>
          </w:tcPr>
          <w:p w:rsidR="00AD3B67" w:rsidRPr="009A569F" w:rsidRDefault="00AD3B67" w:rsidP="00AB5C14">
            <w:pPr>
              <w:rPr>
                <w:b/>
                <w:bCs/>
              </w:rPr>
            </w:pPr>
            <w:r w:rsidRPr="009A569F">
              <w:rPr>
                <w:b/>
                <w:bCs/>
              </w:rPr>
              <w:t>b)</w:t>
            </w:r>
            <w:r w:rsidRPr="009A569F">
              <w:t xml:space="preserve"> Matéria insolúvel em água: não mais que 0,02%</w:t>
            </w:r>
          </w:p>
          <w:p w:rsidR="00AD3B67" w:rsidRPr="009A569F" w:rsidRDefault="00AD3B67" w:rsidP="00AB5C14"/>
          <w:p w:rsidR="00AD3B67" w:rsidRPr="009A569F" w:rsidRDefault="00AD3B67" w:rsidP="00AB5C14"/>
          <w:p w:rsidR="00AD3B67" w:rsidRPr="009A569F" w:rsidRDefault="00AD3B67" w:rsidP="00AB5C14"/>
        </w:tc>
        <w:tc>
          <w:tcPr>
            <w:tcW w:w="1870" w:type="dxa"/>
            <w:tcBorders>
              <w:top w:val="nil"/>
              <w:left w:val="outset" w:sz="6" w:space="0" w:color="auto"/>
              <w:bottom w:val="nil"/>
            </w:tcBorders>
          </w:tcPr>
          <w:p w:rsidR="00AD3B67" w:rsidRPr="009A569F" w:rsidRDefault="00AD3B67" w:rsidP="00AB5C14">
            <w:r w:rsidRPr="009A569F">
              <w:t>2) Evitar contato com os olhos;</w:t>
            </w:r>
          </w:p>
        </w:tc>
      </w:tr>
      <w:tr w:rsidR="00AD3B67" w:rsidRPr="009A569F" w:rsidTr="00C62FAC">
        <w:trPr>
          <w:divId w:val="1534617208"/>
          <w:trHeight w:val="95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top w:val="nil"/>
              <w:left w:val="outset" w:sz="6" w:space="0" w:color="auto"/>
              <w:right w:val="outset" w:sz="6" w:space="0" w:color="auto"/>
            </w:tcBorders>
          </w:tcPr>
          <w:p w:rsidR="00AD3B67" w:rsidRPr="009A569F" w:rsidRDefault="00AD3B67" w:rsidP="00AB5C14">
            <w:pPr>
              <w:rPr>
                <w:b/>
                <w:bCs/>
              </w:rPr>
            </w:pPr>
          </w:p>
        </w:tc>
        <w:tc>
          <w:tcPr>
            <w:tcW w:w="1870" w:type="dxa"/>
            <w:tcBorders>
              <w:top w:val="nil"/>
              <w:left w:val="outset" w:sz="6" w:space="0" w:color="auto"/>
              <w:bottom w:val="nil"/>
            </w:tcBorders>
          </w:tcPr>
          <w:p w:rsidR="00AD3B67" w:rsidRPr="009A569F" w:rsidRDefault="00AD3B67" w:rsidP="00AB5C14">
            <w:r w:rsidRPr="009A569F">
              <w:t>3) Não utilizar durante a gravidez;</w:t>
            </w:r>
          </w:p>
          <w:p w:rsidR="00AD3B67" w:rsidRPr="009A569F" w:rsidRDefault="00AD3B67" w:rsidP="00AB5C14">
            <w:r w:rsidRPr="009A569F">
              <w:t xml:space="preserve">4) Lavar bem as </w:t>
            </w:r>
          </w:p>
        </w:tc>
      </w:tr>
      <w:tr w:rsidR="00AD3B67" w:rsidRPr="009A569F" w:rsidTr="00C62FAC">
        <w:trPr>
          <w:divId w:val="1534617208"/>
          <w:trHeight w:val="69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left w:val="outset" w:sz="6" w:space="0" w:color="auto"/>
              <w:bottom w:val="nil"/>
              <w:right w:val="outset" w:sz="6" w:space="0" w:color="auto"/>
            </w:tcBorders>
          </w:tcPr>
          <w:p w:rsidR="00AD3B67" w:rsidRPr="009A569F" w:rsidRDefault="00AD3B67" w:rsidP="00AB5C14">
            <w:pPr>
              <w:rPr>
                <w:b/>
                <w:bCs/>
              </w:rPr>
            </w:pPr>
          </w:p>
        </w:tc>
        <w:tc>
          <w:tcPr>
            <w:tcW w:w="1870" w:type="dxa"/>
            <w:vMerge w:val="restart"/>
            <w:tcBorders>
              <w:top w:val="nil"/>
              <w:left w:val="outset" w:sz="6" w:space="0" w:color="auto"/>
              <w:bottom w:val="nil"/>
            </w:tcBorders>
          </w:tcPr>
          <w:p w:rsidR="00AD3B67" w:rsidRPr="009A569F" w:rsidRDefault="00AD3B67" w:rsidP="00AB5C14">
            <w:r w:rsidRPr="009A569F">
              <w:t>mãos após o uso;</w:t>
            </w:r>
          </w:p>
          <w:p w:rsidR="00AD3B67" w:rsidRPr="009A569F" w:rsidRDefault="00AD3B67" w:rsidP="00AB5C14">
            <w:r w:rsidRPr="009A569F">
              <w:t>5) Contém acetato de chumbo;</w:t>
            </w:r>
          </w:p>
        </w:tc>
      </w:tr>
      <w:tr w:rsidR="00AD3B67" w:rsidRPr="009A569F" w:rsidTr="00C62FAC">
        <w:trPr>
          <w:divId w:val="1534617208"/>
          <w:trHeight w:val="44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val="restart"/>
            <w:tcBorders>
              <w:top w:val="nil"/>
              <w:left w:val="outset" w:sz="6" w:space="0" w:color="auto"/>
              <w:right w:val="outset" w:sz="6" w:space="0" w:color="auto"/>
            </w:tcBorders>
          </w:tcPr>
          <w:p w:rsidR="00AD3B67" w:rsidRPr="009A569F" w:rsidRDefault="00AD3B67" w:rsidP="00AB5C14">
            <w:r w:rsidRPr="009A569F">
              <w:rPr>
                <w:b/>
                <w:bCs/>
              </w:rPr>
              <w:t>c)</w:t>
            </w:r>
            <w:r w:rsidRPr="009A569F">
              <w:t xml:space="preserve"> pH (solução 30% peso/volume a 25ºC): de </w:t>
            </w:r>
            <w:smartTag w:uri="urn:schemas-microsoft-com:office:smarttags" w:element="metricconverter">
              <w:smartTagPr>
                <w:attr w:name="ProductID" w:val="4,7 a"/>
              </w:smartTagPr>
              <w:r w:rsidRPr="009A569F">
                <w:t>4,7 a</w:t>
              </w:r>
            </w:smartTag>
            <w:r w:rsidRPr="009A569F">
              <w:t xml:space="preserve"> 5,8;</w:t>
            </w:r>
          </w:p>
          <w:p w:rsidR="00AD3B67" w:rsidRPr="009A569F" w:rsidRDefault="00AD3B67" w:rsidP="00AB5C14">
            <w:pPr>
              <w:rPr>
                <w:b/>
                <w:bCs/>
              </w:rPr>
            </w:pPr>
          </w:p>
        </w:tc>
        <w:tc>
          <w:tcPr>
            <w:tcW w:w="1870" w:type="dxa"/>
            <w:vMerge/>
            <w:tcBorders>
              <w:top w:val="nil"/>
              <w:left w:val="outset" w:sz="6" w:space="0" w:color="auto"/>
              <w:bottom w:val="nil"/>
            </w:tcBorders>
          </w:tcPr>
          <w:p w:rsidR="00AD3B67" w:rsidRPr="009A569F" w:rsidRDefault="00AD3B67" w:rsidP="00AB5C14"/>
        </w:tc>
      </w:tr>
      <w:tr w:rsidR="00AD3B67" w:rsidRPr="009A569F" w:rsidTr="00C62FAC">
        <w:trPr>
          <w:divId w:val="1534617208"/>
          <w:trHeight w:val="76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left w:val="outset" w:sz="6" w:space="0" w:color="auto"/>
              <w:bottom w:val="nil"/>
              <w:right w:val="outset" w:sz="6" w:space="0" w:color="auto"/>
            </w:tcBorders>
          </w:tcPr>
          <w:p w:rsidR="00AD3B67" w:rsidRPr="009A569F" w:rsidRDefault="00AD3B67" w:rsidP="00AB5C14"/>
        </w:tc>
        <w:tc>
          <w:tcPr>
            <w:tcW w:w="1870" w:type="dxa"/>
            <w:vMerge w:val="restart"/>
            <w:tcBorders>
              <w:top w:val="nil"/>
              <w:left w:val="outset" w:sz="6" w:space="0" w:color="auto"/>
              <w:bottom w:val="nil"/>
            </w:tcBorders>
          </w:tcPr>
          <w:p w:rsidR="00AD3B67" w:rsidRPr="009A569F" w:rsidRDefault="00AD3B67" w:rsidP="00AB5C14">
            <w:r w:rsidRPr="009A569F">
              <w:t>6) Não usar para tingir os cílios, sobrancelhas e bigodes;</w:t>
            </w:r>
          </w:p>
        </w:tc>
      </w:tr>
      <w:tr w:rsidR="00AD3B67" w:rsidRPr="009A569F" w:rsidTr="00C62FAC">
        <w:trPr>
          <w:divId w:val="1534617208"/>
          <w:trHeight w:val="276"/>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val="restart"/>
            <w:tcBorders>
              <w:top w:val="nil"/>
              <w:left w:val="outset" w:sz="6" w:space="0" w:color="auto"/>
              <w:right w:val="outset" w:sz="6" w:space="0" w:color="auto"/>
            </w:tcBorders>
          </w:tcPr>
          <w:p w:rsidR="00AD3B67" w:rsidRPr="009A569F" w:rsidRDefault="00AD3B67" w:rsidP="00AB5C14">
            <w:pPr>
              <w:rPr>
                <w:b/>
                <w:bCs/>
              </w:rPr>
            </w:pPr>
            <w:r w:rsidRPr="009A569F">
              <w:rPr>
                <w:b/>
                <w:bCs/>
              </w:rPr>
              <w:t>d)</w:t>
            </w:r>
            <w:r w:rsidRPr="009A569F">
              <w:t xml:space="preserve"> Concentração máxima de impurezas:</w:t>
            </w:r>
          </w:p>
        </w:tc>
        <w:tc>
          <w:tcPr>
            <w:tcW w:w="1870" w:type="dxa"/>
            <w:vMerge/>
            <w:tcBorders>
              <w:top w:val="nil"/>
              <w:left w:val="outset" w:sz="6" w:space="0" w:color="auto"/>
              <w:bottom w:val="nil"/>
            </w:tcBorders>
          </w:tcPr>
          <w:p w:rsidR="00AD3B67" w:rsidRPr="009A569F" w:rsidRDefault="00AD3B67" w:rsidP="00AB5C14"/>
        </w:tc>
      </w:tr>
      <w:tr w:rsidR="00AD3B67" w:rsidRPr="009A569F" w:rsidTr="00C62FAC">
        <w:trPr>
          <w:divId w:val="1534617208"/>
          <w:trHeight w:val="59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left w:val="outset" w:sz="6" w:space="0" w:color="auto"/>
              <w:bottom w:val="nil"/>
              <w:right w:val="outset" w:sz="6" w:space="0" w:color="auto"/>
            </w:tcBorders>
          </w:tcPr>
          <w:p w:rsidR="00AD3B67" w:rsidRPr="009A569F" w:rsidRDefault="00AD3B67" w:rsidP="00AB5C14">
            <w:pPr>
              <w:rPr>
                <w:b/>
                <w:bCs/>
              </w:rPr>
            </w:pPr>
          </w:p>
        </w:tc>
        <w:tc>
          <w:tcPr>
            <w:tcW w:w="1870" w:type="dxa"/>
            <w:vMerge w:val="restart"/>
            <w:tcBorders>
              <w:top w:val="nil"/>
              <w:left w:val="outset" w:sz="6" w:space="0" w:color="auto"/>
              <w:bottom w:val="nil"/>
            </w:tcBorders>
          </w:tcPr>
          <w:p w:rsidR="00AD3B67" w:rsidRPr="009A569F" w:rsidRDefault="00AD3B67" w:rsidP="00AB5C14">
            <w:r w:rsidRPr="009A569F">
              <w:t xml:space="preserve">7) Em caso de irritação suspender o uso e procurar </w:t>
            </w:r>
          </w:p>
        </w:tc>
      </w:tr>
      <w:tr w:rsidR="00AD3B67" w:rsidRPr="009A569F" w:rsidTr="00C62FAC">
        <w:trPr>
          <w:divId w:val="1534617208"/>
          <w:trHeight w:val="32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val="restart"/>
            <w:tcBorders>
              <w:top w:val="nil"/>
              <w:left w:val="outset" w:sz="6" w:space="0" w:color="auto"/>
              <w:right w:val="outset" w:sz="6" w:space="0" w:color="auto"/>
            </w:tcBorders>
          </w:tcPr>
          <w:p w:rsidR="00AD3B67" w:rsidRPr="009A569F" w:rsidRDefault="00AD3B67" w:rsidP="00AB5C14"/>
          <w:p w:rsidR="00AD3B67" w:rsidRPr="009A569F" w:rsidRDefault="00AD3B67" w:rsidP="00AB5C14">
            <w:r w:rsidRPr="009A569F">
              <w:rPr>
                <w:b/>
                <w:bCs/>
              </w:rPr>
              <w:t>I)</w:t>
            </w:r>
            <w:r w:rsidRPr="009A569F">
              <w:t xml:space="preserve"> Arsênico (expresso em As): 3 ppm;</w:t>
            </w:r>
          </w:p>
          <w:p w:rsidR="00AD3B67" w:rsidRPr="009A569F" w:rsidRDefault="00AD3B67" w:rsidP="00AB5C14">
            <w:pPr>
              <w:rPr>
                <w:b/>
                <w:bCs/>
              </w:rPr>
            </w:pPr>
          </w:p>
        </w:tc>
        <w:tc>
          <w:tcPr>
            <w:tcW w:w="1870" w:type="dxa"/>
            <w:vMerge/>
            <w:tcBorders>
              <w:top w:val="nil"/>
              <w:left w:val="outset" w:sz="6" w:space="0" w:color="auto"/>
              <w:bottom w:val="nil"/>
            </w:tcBorders>
          </w:tcPr>
          <w:p w:rsidR="00AD3B67" w:rsidRPr="009A569F" w:rsidRDefault="00AD3B67" w:rsidP="00AB5C14"/>
        </w:tc>
      </w:tr>
      <w:tr w:rsidR="00AD3B67" w:rsidRPr="009A569F" w:rsidTr="00C62FAC">
        <w:trPr>
          <w:divId w:val="1534617208"/>
          <w:trHeight w:val="85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left w:val="outset" w:sz="6" w:space="0" w:color="auto"/>
              <w:bottom w:val="nil"/>
              <w:right w:val="outset" w:sz="6" w:space="0" w:color="auto"/>
            </w:tcBorders>
          </w:tcPr>
          <w:p w:rsidR="00AD3B67" w:rsidRPr="009A569F" w:rsidRDefault="00AD3B67" w:rsidP="00AB5C14"/>
        </w:tc>
        <w:tc>
          <w:tcPr>
            <w:tcW w:w="1870" w:type="dxa"/>
            <w:tcBorders>
              <w:top w:val="nil"/>
              <w:left w:val="outset" w:sz="6" w:space="0" w:color="auto"/>
              <w:bottom w:val="nil"/>
            </w:tcBorders>
          </w:tcPr>
          <w:p w:rsidR="00AD3B67" w:rsidRPr="009A569F" w:rsidRDefault="00AD3B67" w:rsidP="00AB5C14">
            <w:r w:rsidRPr="009A569F">
              <w:t>orientação médica;</w:t>
            </w:r>
          </w:p>
          <w:p w:rsidR="00AD3B67" w:rsidRPr="009A569F" w:rsidRDefault="00AD3B67" w:rsidP="00AB5C14">
            <w:r w:rsidRPr="009A569F">
              <w:t>8) Não usar caso o couro cabeludo</w:t>
            </w:r>
          </w:p>
        </w:tc>
      </w:tr>
      <w:tr w:rsidR="00AD3B67" w:rsidRPr="009A569F" w:rsidTr="00C62FAC">
        <w:trPr>
          <w:divId w:val="1534617208"/>
          <w:trHeight w:val="118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val="restart"/>
            <w:tcBorders>
              <w:top w:val="nil"/>
              <w:left w:val="outset" w:sz="6" w:space="0" w:color="auto"/>
              <w:right w:val="outset" w:sz="6" w:space="0" w:color="auto"/>
            </w:tcBorders>
          </w:tcPr>
          <w:p w:rsidR="00AD3B67" w:rsidRPr="009A569F" w:rsidRDefault="00AD3B67" w:rsidP="00AB5C14">
            <w:r w:rsidRPr="009A569F">
              <w:rPr>
                <w:b/>
                <w:bCs/>
              </w:rPr>
              <w:t>II)</w:t>
            </w:r>
            <w:r w:rsidRPr="009A569F">
              <w:t xml:space="preserve"> Mercúrio (expresso em Hg): 1 ppm.</w:t>
            </w:r>
          </w:p>
        </w:tc>
        <w:tc>
          <w:tcPr>
            <w:tcW w:w="1870" w:type="dxa"/>
            <w:tcBorders>
              <w:top w:val="nil"/>
              <w:left w:val="outset" w:sz="6" w:space="0" w:color="auto"/>
              <w:bottom w:val="nil"/>
            </w:tcBorders>
          </w:tcPr>
          <w:p w:rsidR="00AD3B67" w:rsidRPr="009A569F" w:rsidRDefault="00AD3B67" w:rsidP="00AB5C14">
            <w:r w:rsidRPr="009A569F">
              <w:t xml:space="preserve"> esteja irritado ou ferido;</w:t>
            </w:r>
          </w:p>
          <w:p w:rsidR="00AD3B67" w:rsidRPr="009A569F" w:rsidRDefault="00AD3B67" w:rsidP="00AB5C14">
            <w:r w:rsidRPr="009A569F">
              <w:t xml:space="preserve">9) Leia atentamente e siga </w:t>
            </w:r>
          </w:p>
        </w:tc>
      </w:tr>
      <w:tr w:rsidR="00AD3B67" w:rsidRPr="009A569F" w:rsidTr="00C62FAC">
        <w:trPr>
          <w:divId w:val="1534617208"/>
          <w:trHeight w:val="96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left w:val="outset" w:sz="6" w:space="0" w:color="auto"/>
              <w:right w:val="outset" w:sz="6" w:space="0" w:color="auto"/>
            </w:tcBorders>
          </w:tcPr>
          <w:p w:rsidR="00AD3B67" w:rsidRPr="009A569F" w:rsidRDefault="00AD3B67" w:rsidP="00AB5C14">
            <w:pPr>
              <w:rPr>
                <w:b/>
                <w:bCs/>
              </w:rPr>
            </w:pPr>
          </w:p>
        </w:tc>
        <w:tc>
          <w:tcPr>
            <w:tcW w:w="1870" w:type="dxa"/>
            <w:tcBorders>
              <w:top w:val="nil"/>
              <w:left w:val="outset" w:sz="6" w:space="0" w:color="auto"/>
              <w:bottom w:val="nil"/>
            </w:tcBorders>
          </w:tcPr>
          <w:p w:rsidR="00AD3B67" w:rsidRPr="009A569F" w:rsidRDefault="00AD3B67" w:rsidP="00AB5C14">
            <w:r w:rsidRPr="009A569F">
              <w:t>corretamente as instruções de uso;</w:t>
            </w:r>
          </w:p>
          <w:p w:rsidR="00AD3B67" w:rsidRPr="009A569F" w:rsidRDefault="00AD3B67" w:rsidP="00AB5C14">
            <w:r w:rsidRPr="009A569F">
              <w:t xml:space="preserve">10) É </w:t>
            </w:r>
          </w:p>
        </w:tc>
      </w:tr>
      <w:tr w:rsidR="00AD3B67" w:rsidRPr="009A569F" w:rsidTr="00C62FAC">
        <w:trPr>
          <w:divId w:val="1534617208"/>
          <w:trHeight w:val="4210"/>
          <w:jc w:val="center"/>
        </w:trPr>
        <w:tc>
          <w:tcPr>
            <w:tcW w:w="657" w:type="dxa"/>
            <w:vMerge/>
            <w:tcBorders>
              <w:bottom w:val="outset" w:sz="6" w:space="0" w:color="auto"/>
              <w:right w:val="outset" w:sz="6" w:space="0" w:color="auto"/>
            </w:tcBorders>
          </w:tcPr>
          <w:p w:rsidR="00AD3B67" w:rsidRPr="009A569F" w:rsidRDefault="00AD3B67" w:rsidP="00AB5C14"/>
        </w:tc>
        <w:tc>
          <w:tcPr>
            <w:tcW w:w="1616" w:type="dxa"/>
            <w:vMerge/>
            <w:tcBorders>
              <w:left w:val="outset" w:sz="6" w:space="0" w:color="auto"/>
              <w:bottom w:val="outset" w:sz="6" w:space="0" w:color="auto"/>
              <w:right w:val="outset" w:sz="6" w:space="0" w:color="auto"/>
            </w:tcBorders>
          </w:tcPr>
          <w:p w:rsidR="00AD3B67" w:rsidRPr="009A569F" w:rsidRDefault="00AD3B67" w:rsidP="00AB5C14">
            <w:pPr>
              <w:spacing w:line="280" w:lineRule="atLeast"/>
              <w:jc w:val="both"/>
            </w:pPr>
          </w:p>
        </w:tc>
        <w:tc>
          <w:tcPr>
            <w:tcW w:w="1484" w:type="dxa"/>
            <w:vMerge/>
            <w:tcBorders>
              <w:left w:val="outset" w:sz="6" w:space="0" w:color="auto"/>
              <w:bottom w:val="outset" w:sz="6" w:space="0" w:color="auto"/>
              <w:right w:val="outset" w:sz="6" w:space="0" w:color="auto"/>
            </w:tcBorders>
          </w:tcPr>
          <w:p w:rsidR="00AD3B67" w:rsidRPr="009A569F" w:rsidRDefault="00AD3B67" w:rsidP="00AB5C14">
            <w:pPr>
              <w:spacing w:line="280" w:lineRule="atLeast"/>
              <w:jc w:val="both"/>
            </w:pPr>
          </w:p>
        </w:tc>
        <w:tc>
          <w:tcPr>
            <w:tcW w:w="2004" w:type="dxa"/>
            <w:vMerge/>
            <w:tcBorders>
              <w:left w:val="outset" w:sz="6" w:space="0" w:color="auto"/>
              <w:bottom w:val="outset" w:sz="6" w:space="0" w:color="auto"/>
              <w:right w:val="outset" w:sz="6" w:space="0" w:color="auto"/>
            </w:tcBorders>
          </w:tcPr>
          <w:p w:rsidR="00AD3B67" w:rsidRPr="009A569F" w:rsidRDefault="00AD3B67" w:rsidP="00AB5C14">
            <w:pPr>
              <w:spacing w:line="280" w:lineRule="atLeast"/>
              <w:jc w:val="both"/>
            </w:pPr>
          </w:p>
        </w:tc>
        <w:tc>
          <w:tcPr>
            <w:tcW w:w="2057" w:type="dxa"/>
            <w:vMerge/>
            <w:tcBorders>
              <w:left w:val="outset" w:sz="6" w:space="0" w:color="auto"/>
              <w:bottom w:val="outset" w:sz="6" w:space="0" w:color="auto"/>
              <w:right w:val="outset" w:sz="6" w:space="0" w:color="auto"/>
            </w:tcBorders>
          </w:tcPr>
          <w:p w:rsidR="00AD3B67" w:rsidRPr="009A569F" w:rsidRDefault="00AD3B67" w:rsidP="00AB5C14">
            <w:pPr>
              <w:rPr>
                <w:b/>
                <w:bCs/>
              </w:rPr>
            </w:pPr>
          </w:p>
        </w:tc>
        <w:tc>
          <w:tcPr>
            <w:tcW w:w="1870" w:type="dxa"/>
            <w:tcBorders>
              <w:top w:val="nil"/>
              <w:left w:val="outset" w:sz="6" w:space="0" w:color="auto"/>
              <w:bottom w:val="outset" w:sz="6" w:space="0" w:color="auto"/>
            </w:tcBorders>
          </w:tcPr>
          <w:p w:rsidR="00AD3B67" w:rsidRPr="009A569F" w:rsidRDefault="00AD3B67" w:rsidP="00AB5C14">
            <w:r w:rsidRPr="009A569F">
              <w:t>recomendável o uso de luvas durante a aplicação.</w:t>
            </w:r>
          </w:p>
          <w:p w:rsidR="00AD3B67" w:rsidRPr="009A569F" w:rsidRDefault="00AD3B67" w:rsidP="00AB5C14">
            <w:pPr>
              <w:spacing w:line="280" w:lineRule="atLeast"/>
              <w:jc w:val="both"/>
            </w:pPr>
          </w:p>
        </w:tc>
      </w:tr>
      <w:tr w:rsidR="00AD3B67" w:rsidRPr="009A569F" w:rsidTr="00C62FAC">
        <w:trPr>
          <w:divId w:val="1534617208"/>
          <w:trHeight w:val="590"/>
          <w:jc w:val="center"/>
        </w:trPr>
        <w:tc>
          <w:tcPr>
            <w:tcW w:w="657" w:type="dxa"/>
            <w:vMerge w:val="restart"/>
            <w:tcBorders>
              <w:top w:val="outset" w:sz="6" w:space="0" w:color="auto"/>
              <w:right w:val="outset" w:sz="6" w:space="0" w:color="auto"/>
            </w:tcBorders>
          </w:tcPr>
          <w:p w:rsidR="00AD3B67" w:rsidRPr="009A569F" w:rsidRDefault="00AD3B67" w:rsidP="00AB5C14">
            <w:r w:rsidRPr="009A569F">
              <w:t>2</w:t>
            </w:r>
          </w:p>
        </w:tc>
        <w:tc>
          <w:tcPr>
            <w:tcW w:w="1616" w:type="dxa"/>
            <w:vMerge w:val="restart"/>
            <w:tcBorders>
              <w:top w:val="outset" w:sz="6" w:space="0" w:color="auto"/>
              <w:left w:val="outset" w:sz="6" w:space="0" w:color="auto"/>
              <w:right w:val="outset" w:sz="6" w:space="0" w:color="auto"/>
            </w:tcBorders>
          </w:tcPr>
          <w:p w:rsidR="00AD3B67" w:rsidRPr="009A569F" w:rsidRDefault="00AD3B67" w:rsidP="00AB5C14">
            <w:r w:rsidRPr="009A569F">
              <w:t xml:space="preserve">Formaldeído e paraformaldeído </w:t>
            </w:r>
          </w:p>
        </w:tc>
        <w:tc>
          <w:tcPr>
            <w:tcW w:w="1484" w:type="dxa"/>
            <w:vMerge w:val="restart"/>
            <w:tcBorders>
              <w:top w:val="outset" w:sz="6" w:space="0" w:color="auto"/>
              <w:left w:val="outset" w:sz="6" w:space="0" w:color="auto"/>
              <w:right w:val="outset" w:sz="6" w:space="0" w:color="auto"/>
            </w:tcBorders>
          </w:tcPr>
          <w:p w:rsidR="00AD3B67" w:rsidRPr="009A569F" w:rsidRDefault="00AD3B67" w:rsidP="00AB5C14">
            <w:r w:rsidRPr="009A569F">
              <w:t>Conservante</w:t>
            </w:r>
          </w:p>
        </w:tc>
        <w:tc>
          <w:tcPr>
            <w:tcW w:w="2004" w:type="dxa"/>
            <w:tcBorders>
              <w:top w:val="outset" w:sz="6" w:space="0" w:color="auto"/>
              <w:left w:val="outset" w:sz="6" w:space="0" w:color="auto"/>
              <w:bottom w:val="nil"/>
              <w:right w:val="outset" w:sz="6" w:space="0" w:color="auto"/>
            </w:tcBorders>
          </w:tcPr>
          <w:p w:rsidR="00AD3B67" w:rsidRPr="009A569F" w:rsidRDefault="00AD3B67" w:rsidP="00AB5C14">
            <w:r w:rsidRPr="009A569F">
              <w:t xml:space="preserve">0,1% (em produtos de higiene oral) </w:t>
            </w:r>
          </w:p>
          <w:p w:rsidR="00AD3B67" w:rsidRPr="009A569F" w:rsidRDefault="00AD3B67" w:rsidP="00AB5C14"/>
        </w:tc>
        <w:tc>
          <w:tcPr>
            <w:tcW w:w="2057" w:type="dxa"/>
            <w:vMerge w:val="restart"/>
            <w:tcBorders>
              <w:top w:val="outset" w:sz="6" w:space="0" w:color="auto"/>
              <w:left w:val="outset" w:sz="6" w:space="0" w:color="auto"/>
              <w:right w:val="outset" w:sz="6" w:space="0" w:color="auto"/>
            </w:tcBorders>
          </w:tcPr>
          <w:p w:rsidR="00AD3B67" w:rsidRPr="009A569F" w:rsidRDefault="00AD3B67" w:rsidP="00AB5C14">
            <w:r w:rsidRPr="009A569F">
              <w:t>Proibido em sistemas pulverizáveis (como aerossóis e sprays)</w:t>
            </w:r>
          </w:p>
        </w:tc>
        <w:tc>
          <w:tcPr>
            <w:tcW w:w="1870" w:type="dxa"/>
            <w:tcBorders>
              <w:top w:val="outset" w:sz="6" w:space="0" w:color="auto"/>
              <w:left w:val="outset" w:sz="6" w:space="0" w:color="auto"/>
              <w:bottom w:val="nil"/>
            </w:tcBorders>
          </w:tcPr>
          <w:p w:rsidR="00AD3B67" w:rsidRPr="009A569F" w:rsidRDefault="00AD3B67" w:rsidP="00AB5C14">
            <w:r w:rsidRPr="009A569F">
              <w:t xml:space="preserve"> Contém formaldeído (somente para </w:t>
            </w:r>
          </w:p>
        </w:tc>
      </w:tr>
      <w:tr w:rsidR="00AD3B67" w:rsidRPr="009A569F" w:rsidTr="00C62FAC">
        <w:trPr>
          <w:divId w:val="1534617208"/>
          <w:trHeight w:val="85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tc>
        <w:tc>
          <w:tcPr>
            <w:tcW w:w="1484" w:type="dxa"/>
            <w:vMerge/>
            <w:tcBorders>
              <w:left w:val="outset" w:sz="6" w:space="0" w:color="auto"/>
              <w:right w:val="outset" w:sz="6" w:space="0" w:color="auto"/>
            </w:tcBorders>
          </w:tcPr>
          <w:p w:rsidR="00AD3B67" w:rsidRPr="009A569F" w:rsidRDefault="00AD3B67" w:rsidP="00AB5C14"/>
        </w:tc>
        <w:tc>
          <w:tcPr>
            <w:tcW w:w="2004" w:type="dxa"/>
            <w:tcBorders>
              <w:top w:val="nil"/>
              <w:left w:val="outset" w:sz="6" w:space="0" w:color="auto"/>
              <w:bottom w:val="nil"/>
              <w:right w:val="outset" w:sz="6" w:space="0" w:color="auto"/>
            </w:tcBorders>
          </w:tcPr>
          <w:p w:rsidR="00AD3B67" w:rsidRPr="009A569F" w:rsidRDefault="00AD3B67" w:rsidP="00AB5C14">
            <w:r w:rsidRPr="009A569F">
              <w:t xml:space="preserve">0,2% (outros produtos não destinados à higiene oral). </w:t>
            </w:r>
          </w:p>
          <w:p w:rsidR="00AD3B67" w:rsidRPr="009A569F" w:rsidRDefault="00AD3B67" w:rsidP="00AB5C14"/>
        </w:tc>
        <w:tc>
          <w:tcPr>
            <w:tcW w:w="2057" w:type="dxa"/>
            <w:vMerge/>
            <w:tcBorders>
              <w:left w:val="outset" w:sz="6" w:space="0" w:color="auto"/>
              <w:right w:val="outset" w:sz="6" w:space="0" w:color="auto"/>
            </w:tcBorders>
          </w:tcPr>
          <w:p w:rsidR="00AD3B67" w:rsidRPr="009A569F" w:rsidRDefault="00AD3B67" w:rsidP="00AB5C14"/>
        </w:tc>
        <w:tc>
          <w:tcPr>
            <w:tcW w:w="1870" w:type="dxa"/>
            <w:vMerge w:val="restart"/>
            <w:tcBorders>
              <w:top w:val="nil"/>
              <w:left w:val="outset" w:sz="6" w:space="0" w:color="auto"/>
            </w:tcBorders>
          </w:tcPr>
          <w:p w:rsidR="00AD3B67" w:rsidRPr="009A569F" w:rsidRDefault="00AD3B67" w:rsidP="00AB5C14">
            <w:r w:rsidRPr="009A569F">
              <w:t>concentrações superiores a 0,05% no produto final)  </w:t>
            </w:r>
          </w:p>
        </w:tc>
      </w:tr>
      <w:tr w:rsidR="00AD3B67" w:rsidRPr="009A569F" w:rsidTr="00C62FAC">
        <w:trPr>
          <w:divId w:val="1534617208"/>
          <w:trHeight w:val="65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tc>
        <w:tc>
          <w:tcPr>
            <w:tcW w:w="1484" w:type="dxa"/>
            <w:vMerge/>
            <w:tcBorders>
              <w:left w:val="outset" w:sz="6" w:space="0" w:color="auto"/>
              <w:right w:val="outset" w:sz="6" w:space="0" w:color="auto"/>
            </w:tcBorders>
          </w:tcPr>
          <w:p w:rsidR="00AD3B67" w:rsidRPr="009A569F" w:rsidRDefault="00AD3B67" w:rsidP="00AB5C14"/>
        </w:tc>
        <w:tc>
          <w:tcPr>
            <w:tcW w:w="2004" w:type="dxa"/>
            <w:tcBorders>
              <w:top w:val="nil"/>
              <w:left w:val="outset" w:sz="6" w:space="0" w:color="auto"/>
              <w:bottom w:val="nil"/>
              <w:right w:val="outset" w:sz="6" w:space="0" w:color="auto"/>
            </w:tcBorders>
          </w:tcPr>
          <w:p w:rsidR="00AD3B67" w:rsidRPr="009A569F" w:rsidRDefault="00AD3B67" w:rsidP="00AB5C14">
            <w:r w:rsidRPr="009A569F">
              <w:t>(expresso como formaldeído livre)  </w:t>
            </w:r>
          </w:p>
          <w:p w:rsidR="00AD3B67" w:rsidRPr="009A569F" w:rsidRDefault="00AD3B67" w:rsidP="00AB5C14">
            <w:r w:rsidRPr="009A569F">
              <w:t xml:space="preserve"> </w:t>
            </w:r>
          </w:p>
        </w:tc>
        <w:tc>
          <w:tcPr>
            <w:tcW w:w="2057" w:type="dxa"/>
            <w:vMerge/>
            <w:tcBorders>
              <w:left w:val="outset" w:sz="6" w:space="0" w:color="auto"/>
              <w:right w:val="outset" w:sz="6" w:space="0" w:color="auto"/>
            </w:tcBorders>
          </w:tcPr>
          <w:p w:rsidR="00AD3B67" w:rsidRPr="009A569F" w:rsidRDefault="00AD3B67" w:rsidP="00AB5C14"/>
        </w:tc>
        <w:tc>
          <w:tcPr>
            <w:tcW w:w="1870" w:type="dxa"/>
            <w:vMerge/>
            <w:tcBorders>
              <w:top w:val="nil"/>
              <w:left w:val="outset" w:sz="6" w:space="0" w:color="auto"/>
            </w:tcBorders>
          </w:tcPr>
          <w:p w:rsidR="00AD3B67" w:rsidRPr="009A569F" w:rsidRDefault="00AD3B67" w:rsidP="00AB5C14"/>
        </w:tc>
      </w:tr>
      <w:tr w:rsidR="00AD3B67" w:rsidRPr="009A569F" w:rsidTr="00C62FAC">
        <w:trPr>
          <w:divId w:val="1534617208"/>
          <w:trHeight w:val="1190"/>
          <w:jc w:val="center"/>
        </w:trPr>
        <w:tc>
          <w:tcPr>
            <w:tcW w:w="657" w:type="dxa"/>
            <w:vMerge/>
            <w:tcBorders>
              <w:bottom w:val="outset" w:sz="6" w:space="0" w:color="auto"/>
              <w:right w:val="outset" w:sz="6" w:space="0" w:color="auto"/>
            </w:tcBorders>
          </w:tcPr>
          <w:p w:rsidR="00AD3B67" w:rsidRPr="009A569F" w:rsidRDefault="00AD3B67" w:rsidP="00AB5C14"/>
        </w:tc>
        <w:tc>
          <w:tcPr>
            <w:tcW w:w="1616" w:type="dxa"/>
            <w:vMerge/>
            <w:tcBorders>
              <w:left w:val="outset" w:sz="6" w:space="0" w:color="auto"/>
              <w:bottom w:val="outset" w:sz="6" w:space="0" w:color="auto"/>
              <w:right w:val="outset" w:sz="6" w:space="0" w:color="auto"/>
            </w:tcBorders>
          </w:tcPr>
          <w:p w:rsidR="00AD3B67" w:rsidRPr="009A569F" w:rsidRDefault="00AD3B67" w:rsidP="00AB5C14"/>
        </w:tc>
        <w:tc>
          <w:tcPr>
            <w:tcW w:w="1484" w:type="dxa"/>
            <w:vMerge/>
            <w:tcBorders>
              <w:left w:val="outset" w:sz="6" w:space="0" w:color="auto"/>
              <w:bottom w:val="outset" w:sz="6" w:space="0" w:color="auto"/>
              <w:right w:val="outset" w:sz="6" w:space="0" w:color="auto"/>
            </w:tcBorders>
          </w:tcPr>
          <w:p w:rsidR="00AD3B67" w:rsidRPr="009A569F" w:rsidRDefault="00AD3B67" w:rsidP="00AB5C14"/>
        </w:tc>
        <w:tc>
          <w:tcPr>
            <w:tcW w:w="2004" w:type="dxa"/>
            <w:tcBorders>
              <w:top w:val="nil"/>
              <w:left w:val="outset" w:sz="6" w:space="0" w:color="auto"/>
              <w:bottom w:val="outset" w:sz="6" w:space="0" w:color="auto"/>
              <w:right w:val="outset" w:sz="6" w:space="0" w:color="auto"/>
            </w:tcBorders>
          </w:tcPr>
          <w:p w:rsidR="00AD3B67" w:rsidRPr="009A569F" w:rsidRDefault="00AD3B67" w:rsidP="00AB5C14"/>
        </w:tc>
        <w:tc>
          <w:tcPr>
            <w:tcW w:w="2057" w:type="dxa"/>
            <w:vMerge/>
            <w:tcBorders>
              <w:left w:val="outset" w:sz="6" w:space="0" w:color="auto"/>
              <w:bottom w:val="outset" w:sz="6" w:space="0" w:color="auto"/>
              <w:right w:val="outset" w:sz="6" w:space="0" w:color="auto"/>
            </w:tcBorders>
          </w:tcPr>
          <w:p w:rsidR="00AD3B67" w:rsidRPr="009A569F" w:rsidRDefault="00AD3B67" w:rsidP="00AB5C14"/>
        </w:tc>
        <w:tc>
          <w:tcPr>
            <w:tcW w:w="1870" w:type="dxa"/>
            <w:vMerge/>
            <w:tcBorders>
              <w:left w:val="outset" w:sz="6" w:space="0" w:color="auto"/>
              <w:bottom w:val="outset" w:sz="6" w:space="0" w:color="auto"/>
            </w:tcBorders>
          </w:tcPr>
          <w:p w:rsidR="00AD3B67" w:rsidRPr="009A569F" w:rsidRDefault="00AD3B67" w:rsidP="00AB5C14"/>
        </w:tc>
      </w:tr>
      <w:tr w:rsidR="00AD3B67" w:rsidRPr="009A569F" w:rsidTr="00C62FAC">
        <w:trPr>
          <w:divId w:val="1534617208"/>
          <w:trHeight w:val="710"/>
          <w:jc w:val="center"/>
        </w:trPr>
        <w:tc>
          <w:tcPr>
            <w:tcW w:w="657" w:type="dxa"/>
            <w:vMerge w:val="restart"/>
            <w:tcBorders>
              <w:top w:val="outset" w:sz="6" w:space="0" w:color="auto"/>
              <w:right w:val="outset" w:sz="6" w:space="0" w:color="auto"/>
            </w:tcBorders>
          </w:tcPr>
          <w:p w:rsidR="00AD3B67" w:rsidRPr="009A569F" w:rsidRDefault="00AD3B67" w:rsidP="00AB5C14">
            <w:r w:rsidRPr="009A569F">
              <w:t>3</w:t>
            </w:r>
          </w:p>
        </w:tc>
        <w:tc>
          <w:tcPr>
            <w:tcW w:w="1616" w:type="dxa"/>
            <w:vMerge w:val="restart"/>
            <w:tcBorders>
              <w:top w:val="outset" w:sz="6" w:space="0" w:color="auto"/>
              <w:left w:val="outset" w:sz="6" w:space="0" w:color="auto"/>
              <w:right w:val="outset" w:sz="6" w:space="0" w:color="auto"/>
            </w:tcBorders>
          </w:tcPr>
          <w:p w:rsidR="00AD3B67" w:rsidRPr="009A569F" w:rsidRDefault="00AD3B67" w:rsidP="00AB5C14">
            <w:r w:rsidRPr="009A569F">
              <w:t>Formaldeído</w:t>
            </w:r>
          </w:p>
        </w:tc>
        <w:tc>
          <w:tcPr>
            <w:tcW w:w="1484" w:type="dxa"/>
            <w:vMerge w:val="restart"/>
            <w:tcBorders>
              <w:top w:val="outset" w:sz="6" w:space="0" w:color="auto"/>
              <w:left w:val="outset" w:sz="6" w:space="0" w:color="auto"/>
              <w:right w:val="outset" w:sz="6" w:space="0" w:color="auto"/>
            </w:tcBorders>
          </w:tcPr>
          <w:p w:rsidR="00AD3B67" w:rsidRPr="009A569F" w:rsidRDefault="00AD3B67" w:rsidP="00AB5C14">
            <w:r w:rsidRPr="009A569F">
              <w:t>Produtos para endurecer as unhas</w:t>
            </w:r>
          </w:p>
        </w:tc>
        <w:tc>
          <w:tcPr>
            <w:tcW w:w="2004" w:type="dxa"/>
            <w:vMerge w:val="restart"/>
            <w:tcBorders>
              <w:top w:val="outset" w:sz="6" w:space="0" w:color="auto"/>
              <w:left w:val="outset" w:sz="6" w:space="0" w:color="auto"/>
              <w:right w:val="outset" w:sz="6" w:space="0" w:color="auto"/>
            </w:tcBorders>
          </w:tcPr>
          <w:p w:rsidR="00AD3B67" w:rsidRPr="009A569F" w:rsidRDefault="00AD3B67" w:rsidP="00AB5C14">
            <w:r w:rsidRPr="009A569F">
              <w:t>5 % calculados como formaldeído</w:t>
            </w:r>
          </w:p>
        </w:tc>
        <w:tc>
          <w:tcPr>
            <w:tcW w:w="2057" w:type="dxa"/>
            <w:vMerge w:val="restart"/>
            <w:tcBorders>
              <w:top w:val="outset" w:sz="6" w:space="0" w:color="auto"/>
              <w:left w:val="outset" w:sz="6" w:space="0" w:color="auto"/>
              <w:right w:val="outset" w:sz="6" w:space="0" w:color="auto"/>
            </w:tcBorders>
          </w:tcPr>
          <w:p w:rsidR="00AD3B67" w:rsidRPr="009A569F" w:rsidRDefault="00AD3B67" w:rsidP="00AB5C14"/>
        </w:tc>
        <w:tc>
          <w:tcPr>
            <w:tcW w:w="1870" w:type="dxa"/>
            <w:tcBorders>
              <w:top w:val="outset" w:sz="6" w:space="0" w:color="auto"/>
              <w:left w:val="outset" w:sz="6" w:space="0" w:color="auto"/>
              <w:bottom w:val="nil"/>
            </w:tcBorders>
          </w:tcPr>
          <w:p w:rsidR="00AD3B67" w:rsidRPr="009A569F" w:rsidRDefault="00AD3B67" w:rsidP="00AB5C14">
            <w:r w:rsidRPr="009A569F">
              <w:t xml:space="preserve"> 1) Proteger as cutículas com óleos </w:t>
            </w:r>
          </w:p>
        </w:tc>
      </w:tr>
      <w:tr w:rsidR="00AD3B67" w:rsidRPr="009A569F" w:rsidTr="00C62FAC">
        <w:trPr>
          <w:divId w:val="1534617208"/>
          <w:trHeight w:val="113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tc>
        <w:tc>
          <w:tcPr>
            <w:tcW w:w="1484" w:type="dxa"/>
            <w:vMerge/>
            <w:tcBorders>
              <w:left w:val="outset" w:sz="6" w:space="0" w:color="auto"/>
              <w:right w:val="outset" w:sz="6" w:space="0" w:color="auto"/>
            </w:tcBorders>
          </w:tcPr>
          <w:p w:rsidR="00AD3B67" w:rsidRPr="009A569F" w:rsidRDefault="00AD3B67" w:rsidP="00AB5C14"/>
        </w:tc>
        <w:tc>
          <w:tcPr>
            <w:tcW w:w="2004" w:type="dxa"/>
            <w:vMerge/>
            <w:tcBorders>
              <w:left w:val="outset" w:sz="6" w:space="0" w:color="auto"/>
              <w:right w:val="outset" w:sz="6" w:space="0" w:color="auto"/>
            </w:tcBorders>
          </w:tcPr>
          <w:p w:rsidR="00AD3B67" w:rsidRPr="009A569F" w:rsidRDefault="00AD3B67" w:rsidP="00AB5C14"/>
        </w:tc>
        <w:tc>
          <w:tcPr>
            <w:tcW w:w="2057" w:type="dxa"/>
            <w:vMerge/>
            <w:tcBorders>
              <w:left w:val="outset" w:sz="6" w:space="0" w:color="auto"/>
              <w:right w:val="outset" w:sz="6" w:space="0" w:color="auto"/>
            </w:tcBorders>
          </w:tcPr>
          <w:p w:rsidR="00AD3B67" w:rsidRPr="009A569F" w:rsidRDefault="00AD3B67" w:rsidP="00AB5C14"/>
        </w:tc>
        <w:tc>
          <w:tcPr>
            <w:tcW w:w="1870" w:type="dxa"/>
            <w:tcBorders>
              <w:top w:val="nil"/>
              <w:left w:val="outset" w:sz="6" w:space="0" w:color="auto"/>
              <w:bottom w:val="nil"/>
            </w:tcBorders>
          </w:tcPr>
          <w:p w:rsidR="00AD3B67" w:rsidRPr="009A569F" w:rsidRDefault="00AD3B67" w:rsidP="00AB5C14">
            <w:r w:rsidRPr="009A569F">
              <w:t xml:space="preserve"> 2) Contém formaldeído (somente para concentrações superiores a </w:t>
            </w:r>
          </w:p>
        </w:tc>
      </w:tr>
      <w:tr w:rsidR="00AD3B67" w:rsidRPr="009A569F" w:rsidTr="00C62FAC">
        <w:trPr>
          <w:divId w:val="1534617208"/>
          <w:trHeight w:val="500"/>
          <w:jc w:val="center"/>
        </w:trPr>
        <w:tc>
          <w:tcPr>
            <w:tcW w:w="657" w:type="dxa"/>
            <w:vMerge/>
            <w:tcBorders>
              <w:bottom w:val="outset" w:sz="6" w:space="0" w:color="auto"/>
              <w:right w:val="outset" w:sz="6" w:space="0" w:color="auto"/>
            </w:tcBorders>
          </w:tcPr>
          <w:p w:rsidR="00AD3B67" w:rsidRPr="009A569F" w:rsidRDefault="00AD3B67" w:rsidP="00AB5C14"/>
        </w:tc>
        <w:tc>
          <w:tcPr>
            <w:tcW w:w="1616" w:type="dxa"/>
            <w:vMerge/>
            <w:tcBorders>
              <w:left w:val="outset" w:sz="6" w:space="0" w:color="auto"/>
              <w:bottom w:val="outset" w:sz="6" w:space="0" w:color="auto"/>
              <w:right w:val="outset" w:sz="6" w:space="0" w:color="auto"/>
            </w:tcBorders>
          </w:tcPr>
          <w:p w:rsidR="00AD3B67" w:rsidRPr="009A569F" w:rsidRDefault="00AD3B67" w:rsidP="00AB5C14"/>
        </w:tc>
        <w:tc>
          <w:tcPr>
            <w:tcW w:w="1484" w:type="dxa"/>
            <w:vMerge/>
            <w:tcBorders>
              <w:left w:val="outset" w:sz="6" w:space="0" w:color="auto"/>
              <w:bottom w:val="outset" w:sz="6" w:space="0" w:color="auto"/>
              <w:right w:val="outset" w:sz="6" w:space="0" w:color="auto"/>
            </w:tcBorders>
          </w:tcPr>
          <w:p w:rsidR="00AD3B67" w:rsidRPr="009A569F" w:rsidRDefault="00AD3B67" w:rsidP="00AB5C14"/>
        </w:tc>
        <w:tc>
          <w:tcPr>
            <w:tcW w:w="2004" w:type="dxa"/>
            <w:vMerge/>
            <w:tcBorders>
              <w:left w:val="outset" w:sz="6" w:space="0" w:color="auto"/>
              <w:bottom w:val="outset" w:sz="6" w:space="0" w:color="auto"/>
              <w:right w:val="outset" w:sz="6" w:space="0" w:color="auto"/>
            </w:tcBorders>
          </w:tcPr>
          <w:p w:rsidR="00AD3B67" w:rsidRPr="009A569F" w:rsidRDefault="00AD3B67" w:rsidP="00AB5C14"/>
        </w:tc>
        <w:tc>
          <w:tcPr>
            <w:tcW w:w="2057" w:type="dxa"/>
            <w:vMerge/>
            <w:tcBorders>
              <w:left w:val="outset" w:sz="6" w:space="0" w:color="auto"/>
              <w:bottom w:val="outset" w:sz="6" w:space="0" w:color="auto"/>
              <w:right w:val="outset" w:sz="6" w:space="0" w:color="auto"/>
            </w:tcBorders>
          </w:tcPr>
          <w:p w:rsidR="00AD3B67" w:rsidRPr="009A569F" w:rsidRDefault="00AD3B67" w:rsidP="00AB5C14"/>
        </w:tc>
        <w:tc>
          <w:tcPr>
            <w:tcW w:w="1870" w:type="dxa"/>
            <w:tcBorders>
              <w:top w:val="nil"/>
              <w:left w:val="outset" w:sz="6" w:space="0" w:color="auto"/>
              <w:bottom w:val="single" w:sz="4" w:space="0" w:color="auto"/>
            </w:tcBorders>
          </w:tcPr>
          <w:p w:rsidR="00AD3B67" w:rsidRPr="009A569F" w:rsidRDefault="00AD3B67" w:rsidP="00AB5C14">
            <w:r w:rsidRPr="009A569F">
              <w:t>0,05% no produto final)  </w:t>
            </w:r>
          </w:p>
        </w:tc>
      </w:tr>
      <w:tr w:rsidR="00AD3B67" w:rsidRPr="009A569F" w:rsidTr="00C62FAC">
        <w:trPr>
          <w:divId w:val="1534617208"/>
          <w:trHeight w:val="690"/>
          <w:jc w:val="center"/>
        </w:trPr>
        <w:tc>
          <w:tcPr>
            <w:tcW w:w="657" w:type="dxa"/>
            <w:vMerge w:val="restart"/>
            <w:tcBorders>
              <w:top w:val="outset" w:sz="6" w:space="0" w:color="auto"/>
              <w:right w:val="outset" w:sz="6" w:space="0" w:color="auto"/>
            </w:tcBorders>
          </w:tcPr>
          <w:p w:rsidR="00AD3B67" w:rsidRPr="009A569F" w:rsidRDefault="00AD3B67" w:rsidP="00AB5C14">
            <w:r w:rsidRPr="009A569F">
              <w:t>4</w:t>
            </w:r>
          </w:p>
        </w:tc>
        <w:tc>
          <w:tcPr>
            <w:tcW w:w="1616" w:type="dxa"/>
            <w:vMerge w:val="restart"/>
            <w:tcBorders>
              <w:top w:val="outset" w:sz="6" w:space="0" w:color="auto"/>
              <w:left w:val="outset" w:sz="6" w:space="0" w:color="auto"/>
              <w:right w:val="outset" w:sz="6" w:space="0" w:color="auto"/>
            </w:tcBorders>
          </w:tcPr>
          <w:p w:rsidR="00AD3B67" w:rsidRPr="009A569F" w:rsidRDefault="00AD3B67" w:rsidP="00AB5C14">
            <w:r w:rsidRPr="009A569F">
              <w:t>Pirogalol</w:t>
            </w:r>
          </w:p>
        </w:tc>
        <w:tc>
          <w:tcPr>
            <w:tcW w:w="1484" w:type="dxa"/>
            <w:vMerge w:val="restart"/>
            <w:tcBorders>
              <w:top w:val="outset" w:sz="6" w:space="0" w:color="auto"/>
              <w:left w:val="outset" w:sz="6" w:space="0" w:color="auto"/>
              <w:right w:val="outset" w:sz="6" w:space="0" w:color="auto"/>
            </w:tcBorders>
          </w:tcPr>
          <w:p w:rsidR="00AD3B67" w:rsidRPr="009A569F" w:rsidRDefault="00AD3B67" w:rsidP="00AB5C14">
            <w:r w:rsidRPr="009A569F">
              <w:t>Corante de oxidação para cabelos</w:t>
            </w:r>
          </w:p>
          <w:p w:rsidR="00AD3B67" w:rsidRPr="009A569F" w:rsidRDefault="00AD3B67" w:rsidP="00AB5C14"/>
        </w:tc>
        <w:tc>
          <w:tcPr>
            <w:tcW w:w="2004" w:type="dxa"/>
            <w:vMerge w:val="restart"/>
            <w:tcBorders>
              <w:top w:val="outset" w:sz="6" w:space="0" w:color="auto"/>
              <w:left w:val="outset" w:sz="6" w:space="0" w:color="auto"/>
              <w:right w:val="outset" w:sz="6" w:space="0" w:color="auto"/>
            </w:tcBorders>
          </w:tcPr>
          <w:p w:rsidR="00AD3B67" w:rsidRPr="009A569F" w:rsidRDefault="00AD3B67" w:rsidP="00AB5C14">
            <w:r w:rsidRPr="009A569F">
              <w:t xml:space="preserve">5% </w:t>
            </w:r>
          </w:p>
          <w:p w:rsidR="00AD3B67" w:rsidRPr="009A569F" w:rsidRDefault="00AD3B67" w:rsidP="00AB5C14"/>
          <w:p w:rsidR="00AD3B67" w:rsidRPr="009A569F" w:rsidRDefault="00AD3B67" w:rsidP="00AB5C14">
            <w:r w:rsidRPr="009A569F">
              <w:t>Até pH 5</w:t>
            </w:r>
          </w:p>
          <w:p w:rsidR="00AD3B67" w:rsidRPr="009A569F" w:rsidRDefault="00AD3B67" w:rsidP="00AB5C14"/>
        </w:tc>
        <w:tc>
          <w:tcPr>
            <w:tcW w:w="2057" w:type="dxa"/>
            <w:vMerge w:val="restart"/>
            <w:tcBorders>
              <w:top w:val="outset" w:sz="6" w:space="0" w:color="auto"/>
              <w:left w:val="outset" w:sz="6" w:space="0" w:color="auto"/>
              <w:right w:val="outset" w:sz="6" w:space="0" w:color="auto"/>
            </w:tcBorders>
          </w:tcPr>
          <w:p w:rsidR="00AD3B67" w:rsidRPr="009A569F" w:rsidRDefault="00AD3B67" w:rsidP="00AB5C14">
            <w:r w:rsidRPr="009A569F">
              <w:t xml:space="preserve">  </w:t>
            </w:r>
          </w:p>
        </w:tc>
        <w:tc>
          <w:tcPr>
            <w:tcW w:w="1870" w:type="dxa"/>
            <w:tcBorders>
              <w:top w:val="single" w:sz="4" w:space="0" w:color="auto"/>
              <w:left w:val="outset" w:sz="6" w:space="0" w:color="auto"/>
              <w:bottom w:val="nil"/>
            </w:tcBorders>
          </w:tcPr>
          <w:p w:rsidR="00AD3B67" w:rsidRPr="009A569F" w:rsidRDefault="00AD3B67" w:rsidP="00AB5C14">
            <w:pPr>
              <w:jc w:val="both"/>
            </w:pPr>
            <w:r w:rsidRPr="009A569F">
              <w:t xml:space="preserve"> 1) Pode causar reações alérgicas. </w:t>
            </w:r>
          </w:p>
        </w:tc>
      </w:tr>
      <w:tr w:rsidR="00AD3B67" w:rsidRPr="009A569F" w:rsidTr="00C62FAC">
        <w:trPr>
          <w:divId w:val="1534617208"/>
          <w:trHeight w:val="48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tc>
        <w:tc>
          <w:tcPr>
            <w:tcW w:w="1484" w:type="dxa"/>
            <w:vMerge/>
            <w:tcBorders>
              <w:left w:val="outset" w:sz="6" w:space="0" w:color="auto"/>
              <w:right w:val="outset" w:sz="6" w:space="0" w:color="auto"/>
            </w:tcBorders>
          </w:tcPr>
          <w:p w:rsidR="00AD3B67" w:rsidRPr="009A569F" w:rsidRDefault="00AD3B67" w:rsidP="00AB5C14"/>
        </w:tc>
        <w:tc>
          <w:tcPr>
            <w:tcW w:w="2004" w:type="dxa"/>
            <w:vMerge/>
            <w:tcBorders>
              <w:left w:val="outset" w:sz="6" w:space="0" w:color="auto"/>
              <w:right w:val="outset" w:sz="6" w:space="0" w:color="auto"/>
            </w:tcBorders>
          </w:tcPr>
          <w:p w:rsidR="00AD3B67" w:rsidRPr="009A569F" w:rsidRDefault="00AD3B67" w:rsidP="00AB5C14"/>
        </w:tc>
        <w:tc>
          <w:tcPr>
            <w:tcW w:w="2057" w:type="dxa"/>
            <w:vMerge/>
            <w:tcBorders>
              <w:left w:val="outset" w:sz="6" w:space="0" w:color="auto"/>
              <w:right w:val="outset" w:sz="6" w:space="0" w:color="auto"/>
            </w:tcBorders>
          </w:tcPr>
          <w:p w:rsidR="00AD3B67" w:rsidRPr="009A569F" w:rsidRDefault="00AD3B67" w:rsidP="00AB5C14"/>
        </w:tc>
        <w:tc>
          <w:tcPr>
            <w:tcW w:w="1870" w:type="dxa"/>
            <w:tcBorders>
              <w:top w:val="nil"/>
              <w:left w:val="outset" w:sz="6" w:space="0" w:color="auto"/>
              <w:bottom w:val="nil"/>
            </w:tcBorders>
          </w:tcPr>
          <w:p w:rsidR="00AD3B67" w:rsidRPr="009A569F" w:rsidRDefault="00AD3B67" w:rsidP="00AB5C14">
            <w:pPr>
              <w:jc w:val="both"/>
            </w:pPr>
            <w:r w:rsidRPr="009A569F">
              <w:t xml:space="preserve"> 2) Contém Pirogalol. </w:t>
            </w:r>
          </w:p>
        </w:tc>
      </w:tr>
      <w:tr w:rsidR="00AD3B67" w:rsidRPr="009A569F" w:rsidTr="00C62FAC">
        <w:trPr>
          <w:divId w:val="1534617208"/>
          <w:trHeight w:val="690"/>
          <w:jc w:val="center"/>
        </w:trPr>
        <w:tc>
          <w:tcPr>
            <w:tcW w:w="657" w:type="dxa"/>
            <w:vMerge/>
            <w:tcBorders>
              <w:right w:val="outset" w:sz="6" w:space="0" w:color="auto"/>
            </w:tcBorders>
          </w:tcPr>
          <w:p w:rsidR="00AD3B67" w:rsidRPr="009A569F" w:rsidRDefault="00AD3B67" w:rsidP="00AB5C14"/>
        </w:tc>
        <w:tc>
          <w:tcPr>
            <w:tcW w:w="1616" w:type="dxa"/>
            <w:vMerge/>
            <w:tcBorders>
              <w:left w:val="outset" w:sz="6" w:space="0" w:color="auto"/>
              <w:right w:val="outset" w:sz="6" w:space="0" w:color="auto"/>
            </w:tcBorders>
          </w:tcPr>
          <w:p w:rsidR="00AD3B67" w:rsidRPr="009A569F" w:rsidRDefault="00AD3B67" w:rsidP="00AB5C14"/>
        </w:tc>
        <w:tc>
          <w:tcPr>
            <w:tcW w:w="1484" w:type="dxa"/>
            <w:vMerge/>
            <w:tcBorders>
              <w:left w:val="outset" w:sz="6" w:space="0" w:color="auto"/>
              <w:right w:val="outset" w:sz="6" w:space="0" w:color="auto"/>
            </w:tcBorders>
          </w:tcPr>
          <w:p w:rsidR="00AD3B67" w:rsidRPr="009A569F" w:rsidRDefault="00AD3B67" w:rsidP="00AB5C14"/>
        </w:tc>
        <w:tc>
          <w:tcPr>
            <w:tcW w:w="2004" w:type="dxa"/>
            <w:vMerge/>
            <w:tcBorders>
              <w:left w:val="outset" w:sz="6" w:space="0" w:color="auto"/>
              <w:right w:val="outset" w:sz="6" w:space="0" w:color="auto"/>
            </w:tcBorders>
          </w:tcPr>
          <w:p w:rsidR="00AD3B67" w:rsidRPr="009A569F" w:rsidRDefault="00AD3B67" w:rsidP="00AB5C14"/>
        </w:tc>
        <w:tc>
          <w:tcPr>
            <w:tcW w:w="2057" w:type="dxa"/>
            <w:vMerge/>
            <w:tcBorders>
              <w:left w:val="outset" w:sz="6" w:space="0" w:color="auto"/>
              <w:right w:val="outset" w:sz="6" w:space="0" w:color="auto"/>
            </w:tcBorders>
          </w:tcPr>
          <w:p w:rsidR="00AD3B67" w:rsidRPr="009A569F" w:rsidRDefault="00AD3B67" w:rsidP="00AB5C14"/>
        </w:tc>
        <w:tc>
          <w:tcPr>
            <w:tcW w:w="1870" w:type="dxa"/>
            <w:tcBorders>
              <w:top w:val="nil"/>
              <w:left w:val="outset" w:sz="6" w:space="0" w:color="auto"/>
              <w:bottom w:val="nil"/>
            </w:tcBorders>
          </w:tcPr>
          <w:p w:rsidR="00AD3B67" w:rsidRPr="009A569F" w:rsidRDefault="00AD3B67" w:rsidP="00AB5C14">
            <w:pPr>
              <w:jc w:val="both"/>
            </w:pPr>
            <w:r w:rsidRPr="009A569F">
              <w:t xml:space="preserve"> 3) Não utilizar para tingir buços ou sobrancelhas.</w:t>
            </w:r>
          </w:p>
        </w:tc>
      </w:tr>
      <w:tr w:rsidR="00AD3B67" w:rsidRPr="009A569F" w:rsidTr="00C62FAC">
        <w:trPr>
          <w:divId w:val="1534617208"/>
          <w:trHeight w:val="1200"/>
          <w:jc w:val="center"/>
        </w:trPr>
        <w:tc>
          <w:tcPr>
            <w:tcW w:w="657" w:type="dxa"/>
            <w:vMerge/>
            <w:tcBorders>
              <w:bottom w:val="outset" w:sz="6" w:space="0" w:color="auto"/>
              <w:right w:val="outset" w:sz="6" w:space="0" w:color="auto"/>
            </w:tcBorders>
          </w:tcPr>
          <w:p w:rsidR="00AD3B67" w:rsidRPr="009A569F" w:rsidRDefault="00AD3B67" w:rsidP="00AB5C14"/>
        </w:tc>
        <w:tc>
          <w:tcPr>
            <w:tcW w:w="1616" w:type="dxa"/>
            <w:vMerge/>
            <w:tcBorders>
              <w:left w:val="outset" w:sz="6" w:space="0" w:color="auto"/>
              <w:bottom w:val="outset" w:sz="6" w:space="0" w:color="auto"/>
              <w:right w:val="outset" w:sz="6" w:space="0" w:color="auto"/>
            </w:tcBorders>
          </w:tcPr>
          <w:p w:rsidR="00AD3B67" w:rsidRPr="009A569F" w:rsidRDefault="00AD3B67" w:rsidP="00AB5C14"/>
        </w:tc>
        <w:tc>
          <w:tcPr>
            <w:tcW w:w="1484" w:type="dxa"/>
            <w:vMerge/>
            <w:tcBorders>
              <w:left w:val="outset" w:sz="6" w:space="0" w:color="auto"/>
              <w:bottom w:val="outset" w:sz="6" w:space="0" w:color="auto"/>
              <w:right w:val="outset" w:sz="6" w:space="0" w:color="auto"/>
            </w:tcBorders>
          </w:tcPr>
          <w:p w:rsidR="00AD3B67" w:rsidRPr="009A569F" w:rsidRDefault="00AD3B67" w:rsidP="00AB5C14"/>
        </w:tc>
        <w:tc>
          <w:tcPr>
            <w:tcW w:w="2004" w:type="dxa"/>
            <w:vMerge/>
            <w:tcBorders>
              <w:left w:val="outset" w:sz="6" w:space="0" w:color="auto"/>
              <w:bottom w:val="outset" w:sz="6" w:space="0" w:color="auto"/>
              <w:right w:val="outset" w:sz="6" w:space="0" w:color="auto"/>
            </w:tcBorders>
          </w:tcPr>
          <w:p w:rsidR="00AD3B67" w:rsidRPr="009A569F" w:rsidRDefault="00AD3B67" w:rsidP="00AB5C14"/>
        </w:tc>
        <w:tc>
          <w:tcPr>
            <w:tcW w:w="2057" w:type="dxa"/>
            <w:vMerge/>
            <w:tcBorders>
              <w:left w:val="outset" w:sz="6" w:space="0" w:color="auto"/>
              <w:bottom w:val="outset" w:sz="6" w:space="0" w:color="auto"/>
              <w:right w:val="outset" w:sz="6" w:space="0" w:color="auto"/>
            </w:tcBorders>
          </w:tcPr>
          <w:p w:rsidR="00AD3B67" w:rsidRPr="009A569F" w:rsidRDefault="00AD3B67" w:rsidP="00AB5C14"/>
        </w:tc>
        <w:tc>
          <w:tcPr>
            <w:tcW w:w="1870" w:type="dxa"/>
            <w:tcBorders>
              <w:top w:val="nil"/>
              <w:left w:val="outset" w:sz="6" w:space="0" w:color="auto"/>
              <w:bottom w:val="outset" w:sz="6" w:space="0" w:color="auto"/>
            </w:tcBorders>
          </w:tcPr>
          <w:p w:rsidR="00AD3B67" w:rsidRPr="009A569F" w:rsidRDefault="00AD3B67" w:rsidP="00AB5C14">
            <w:pPr>
              <w:jc w:val="both"/>
            </w:pPr>
          </w:p>
          <w:p w:rsidR="00AD3B67" w:rsidRPr="009A569F" w:rsidRDefault="00AD3B67" w:rsidP="00AB5C14">
            <w:pPr>
              <w:jc w:val="both"/>
            </w:pPr>
            <w:r w:rsidRPr="009A569F">
              <w:t xml:space="preserve"> 4) Manter fora do alcance de crianças. </w:t>
            </w:r>
          </w:p>
          <w:p w:rsidR="00AD3B67" w:rsidRPr="009A569F" w:rsidRDefault="00AD3B67" w:rsidP="00AB5C14">
            <w:pPr>
              <w:jc w:val="both"/>
            </w:pPr>
            <w:r w:rsidRPr="009A569F">
              <w:t xml:space="preserve"> 5) Usar luvas adequadas.</w:t>
            </w:r>
          </w:p>
        </w:tc>
      </w:tr>
    </w:tbl>
    <w:p w:rsidR="00CB5ED4" w:rsidRPr="009A569F" w:rsidRDefault="00CB5ED4" w:rsidP="00CB5ED4">
      <w:pPr>
        <w:pStyle w:val="Ttulo2"/>
        <w:divId w:val="1534617208"/>
        <w:rPr>
          <w:rStyle w:val="legendab1"/>
          <w:rFonts w:ascii="Times New Roman" w:hAnsi="Times New Roman"/>
          <w:b w:val="0"/>
          <w:bCs w:val="0"/>
          <w:sz w:val="24"/>
          <w:szCs w:val="24"/>
        </w:rPr>
      </w:pPr>
    </w:p>
    <w:sectPr w:rsidR="00CB5ED4" w:rsidRPr="009A569F" w:rsidSect="009A569F">
      <w:headerReference w:type="default" r:id="rId6"/>
      <w:footerReference w:type="default" r:id="rId7"/>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DCE" w:rsidRDefault="00311DCE" w:rsidP="00C62FAC">
      <w:pPr>
        <w:spacing w:before="0" w:after="0"/>
      </w:pPr>
      <w:r>
        <w:separator/>
      </w:r>
    </w:p>
  </w:endnote>
  <w:endnote w:type="continuationSeparator" w:id="0">
    <w:p w:rsidR="00311DCE" w:rsidRDefault="00311DCE" w:rsidP="00C62F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FAC" w:rsidRPr="00C62FAC" w:rsidRDefault="00C62FAC" w:rsidP="00C62FAC">
    <w:pPr>
      <w:tabs>
        <w:tab w:val="center" w:pos="4252"/>
        <w:tab w:val="right" w:pos="8504"/>
      </w:tabs>
      <w:spacing w:before="0" w:beforeAutospacing="0" w:after="0" w:afterAutospacing="0"/>
      <w:jc w:val="center"/>
      <w:rPr>
        <w:rFonts w:ascii="Calibri" w:hAnsi="Calibri"/>
        <w:sz w:val="22"/>
        <w:szCs w:val="22"/>
        <w:lang w:eastAsia="en-US"/>
      </w:rPr>
    </w:pPr>
    <w:r w:rsidRPr="00C62FAC">
      <w:rPr>
        <w:rFonts w:ascii="Calibri" w:hAnsi="Calibri"/>
        <w:color w:val="943634"/>
        <w:sz w:val="22"/>
        <w:szCs w:val="22"/>
        <w:lang w:eastAsia="en-US"/>
      </w:rPr>
      <w:t>Este texto não substitui o(s) publicado(s) em Diário Oficial da União.</w:t>
    </w:r>
  </w:p>
  <w:p w:rsidR="00C62FAC" w:rsidRDefault="00C62F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DCE" w:rsidRDefault="00311DCE" w:rsidP="00C62FAC">
      <w:pPr>
        <w:spacing w:before="0" w:after="0"/>
      </w:pPr>
      <w:r>
        <w:separator/>
      </w:r>
    </w:p>
  </w:footnote>
  <w:footnote w:type="continuationSeparator" w:id="0">
    <w:p w:rsidR="00311DCE" w:rsidRDefault="00311DCE" w:rsidP="00C62FA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FAC" w:rsidRPr="00C62FAC" w:rsidRDefault="00311DCE" w:rsidP="00C62FAC">
    <w:pPr>
      <w:tabs>
        <w:tab w:val="center" w:pos="4252"/>
        <w:tab w:val="right" w:pos="8504"/>
      </w:tabs>
      <w:spacing w:before="0" w:beforeAutospacing="0" w:after="0" w:afterAutospacing="0"/>
      <w:jc w:val="center"/>
      <w:rPr>
        <w:rFonts w:ascii="Calibri" w:hAnsi="Calibri"/>
        <w:sz w:val="22"/>
        <w:szCs w:val="22"/>
        <w:lang w:eastAsia="en-US"/>
      </w:rPr>
    </w:pPr>
    <w:r w:rsidRPr="00311DCE">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62FAC" w:rsidRPr="00C62FAC" w:rsidRDefault="00C62FAC" w:rsidP="00C62FAC">
    <w:pPr>
      <w:tabs>
        <w:tab w:val="center" w:pos="4252"/>
        <w:tab w:val="right" w:pos="8504"/>
      </w:tabs>
      <w:spacing w:before="0" w:beforeAutospacing="0" w:after="0" w:afterAutospacing="0"/>
      <w:jc w:val="center"/>
      <w:rPr>
        <w:rFonts w:ascii="Calibri" w:hAnsi="Calibri"/>
        <w:b/>
        <w:szCs w:val="22"/>
        <w:lang w:eastAsia="en-US"/>
      </w:rPr>
    </w:pPr>
    <w:r w:rsidRPr="00C62FAC">
      <w:rPr>
        <w:rFonts w:ascii="Calibri" w:hAnsi="Calibri"/>
        <w:b/>
        <w:szCs w:val="22"/>
        <w:lang w:eastAsia="en-US"/>
      </w:rPr>
      <w:t>Ministério da Saúde - MS</w:t>
    </w:r>
  </w:p>
  <w:p w:rsidR="00C62FAC" w:rsidRPr="00C62FAC" w:rsidRDefault="00C62FAC" w:rsidP="00C62FAC">
    <w:pPr>
      <w:tabs>
        <w:tab w:val="center" w:pos="4252"/>
        <w:tab w:val="right" w:pos="8504"/>
      </w:tabs>
      <w:spacing w:before="0" w:beforeAutospacing="0" w:after="0" w:afterAutospacing="0"/>
      <w:jc w:val="center"/>
      <w:rPr>
        <w:rFonts w:ascii="Calibri" w:hAnsi="Calibri"/>
        <w:b/>
        <w:szCs w:val="22"/>
        <w:lang w:eastAsia="en-US"/>
      </w:rPr>
    </w:pPr>
    <w:r w:rsidRPr="00C62FAC">
      <w:rPr>
        <w:rFonts w:ascii="Calibri" w:hAnsi="Calibri"/>
        <w:b/>
        <w:szCs w:val="22"/>
        <w:lang w:eastAsia="en-US"/>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311DCE"/>
    <w:rsid w:val="003347C6"/>
    <w:rsid w:val="004374EC"/>
    <w:rsid w:val="005B08FF"/>
    <w:rsid w:val="00652E8A"/>
    <w:rsid w:val="006815A7"/>
    <w:rsid w:val="0070027E"/>
    <w:rsid w:val="00771958"/>
    <w:rsid w:val="008B7BC0"/>
    <w:rsid w:val="008D770F"/>
    <w:rsid w:val="00971C7C"/>
    <w:rsid w:val="009A569F"/>
    <w:rsid w:val="00A53197"/>
    <w:rsid w:val="00AB5C14"/>
    <w:rsid w:val="00AD3B67"/>
    <w:rsid w:val="00AF43E7"/>
    <w:rsid w:val="00C62FAC"/>
    <w:rsid w:val="00C95A0B"/>
    <w:rsid w:val="00CB1054"/>
    <w:rsid w:val="00CB5ED4"/>
    <w:rsid w:val="00DD688A"/>
    <w:rsid w:val="00DF7C19"/>
    <w:rsid w:val="00FB4175"/>
    <w:rsid w:val="00FE2D5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TDC1">
    <w:name w:val="TDC 1"/>
    <w:basedOn w:val="Normal"/>
    <w:next w:val="Normal"/>
    <w:rsid w:val="005B08FF"/>
    <w:pPr>
      <w:autoSpaceDE w:val="0"/>
      <w:autoSpaceDN w:val="0"/>
      <w:adjustRightInd w:val="0"/>
      <w:spacing w:before="0" w:beforeAutospacing="0" w:after="0" w:afterAutospacing="0"/>
    </w:pPr>
    <w:rPr>
      <w:rFonts w:ascii="Arial" w:eastAsia="Times New Roman" w:hAnsi="Arial"/>
    </w:rPr>
  </w:style>
  <w:style w:type="paragraph" w:customStyle="1" w:styleId="Default">
    <w:name w:val="Default"/>
    <w:uiPriority w:val="99"/>
    <w:rsid w:val="00CB5ED4"/>
    <w:pPr>
      <w:autoSpaceDE w:val="0"/>
      <w:autoSpaceDN w:val="0"/>
      <w:adjustRightInd w:val="0"/>
    </w:pPr>
    <w:rPr>
      <w:rFonts w:ascii="Arial" w:eastAsiaTheme="minorEastAsia" w:hAnsi="Arial" w:cs="Arial"/>
      <w:color w:val="000000"/>
      <w:sz w:val="24"/>
      <w:szCs w:val="24"/>
    </w:rPr>
  </w:style>
  <w:style w:type="paragraph" w:styleId="Corpodetexto">
    <w:name w:val="Body Text"/>
    <w:basedOn w:val="Normal"/>
    <w:link w:val="CorpodetextoChar"/>
    <w:uiPriority w:val="99"/>
    <w:semiHidden/>
    <w:unhideWhenUsed/>
    <w:rsid w:val="00AD3B67"/>
    <w:pPr>
      <w:spacing w:after="120"/>
    </w:pPr>
  </w:style>
  <w:style w:type="character" w:customStyle="1" w:styleId="CorpodetextoChar">
    <w:name w:val="Corpo de texto Char"/>
    <w:basedOn w:val="Fontepargpadro"/>
    <w:link w:val="Corpodetexto"/>
    <w:uiPriority w:val="99"/>
    <w:semiHidden/>
    <w:locked/>
    <w:rsid w:val="00AD3B67"/>
    <w:rPr>
      <w:rFonts w:eastAsiaTheme="minorEastAsia" w:cs="Times New Roman"/>
      <w:sz w:val="24"/>
      <w:szCs w:val="24"/>
    </w:rPr>
  </w:style>
  <w:style w:type="paragraph" w:styleId="Cabealho">
    <w:name w:val="header"/>
    <w:basedOn w:val="Normal"/>
    <w:link w:val="CabealhoChar"/>
    <w:uiPriority w:val="99"/>
    <w:rsid w:val="00C62FAC"/>
    <w:pPr>
      <w:tabs>
        <w:tab w:val="center" w:pos="4252"/>
        <w:tab w:val="right" w:pos="8504"/>
      </w:tabs>
      <w:spacing w:before="0" w:after="0"/>
    </w:pPr>
  </w:style>
  <w:style w:type="character" w:customStyle="1" w:styleId="CabealhoChar">
    <w:name w:val="Cabeçalho Char"/>
    <w:basedOn w:val="Fontepargpadro"/>
    <w:link w:val="Cabealho"/>
    <w:uiPriority w:val="99"/>
    <w:locked/>
    <w:rsid w:val="00C62FAC"/>
    <w:rPr>
      <w:rFonts w:eastAsiaTheme="minorEastAsia" w:cs="Times New Roman"/>
      <w:sz w:val="24"/>
      <w:szCs w:val="24"/>
    </w:rPr>
  </w:style>
  <w:style w:type="paragraph" w:styleId="Rodap">
    <w:name w:val="footer"/>
    <w:basedOn w:val="Normal"/>
    <w:link w:val="RodapChar"/>
    <w:uiPriority w:val="99"/>
    <w:rsid w:val="00C62FAC"/>
    <w:pPr>
      <w:tabs>
        <w:tab w:val="center" w:pos="4252"/>
        <w:tab w:val="right" w:pos="8504"/>
      </w:tabs>
      <w:spacing w:before="0" w:after="0"/>
    </w:pPr>
  </w:style>
  <w:style w:type="character" w:customStyle="1" w:styleId="RodapChar">
    <w:name w:val="Rodapé Char"/>
    <w:basedOn w:val="Fontepargpadro"/>
    <w:link w:val="Rodap"/>
    <w:uiPriority w:val="99"/>
    <w:locked/>
    <w:rsid w:val="00C62FAC"/>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617210">
      <w:marLeft w:val="150"/>
      <w:marRight w:val="150"/>
      <w:marTop w:val="150"/>
      <w:marBottom w:val="0"/>
      <w:divBdr>
        <w:top w:val="none" w:sz="0" w:space="0" w:color="auto"/>
        <w:left w:val="none" w:sz="0" w:space="0" w:color="auto"/>
        <w:bottom w:val="none" w:sz="0" w:space="0" w:color="auto"/>
        <w:right w:val="none" w:sz="0" w:space="0" w:color="auto"/>
      </w:divBdr>
      <w:divsChild>
        <w:div w:id="1534617209">
          <w:marLeft w:val="0"/>
          <w:marRight w:val="0"/>
          <w:marTop w:val="0"/>
          <w:marBottom w:val="0"/>
          <w:divBdr>
            <w:top w:val="none" w:sz="0" w:space="0" w:color="auto"/>
            <w:left w:val="none" w:sz="0" w:space="0" w:color="auto"/>
            <w:bottom w:val="none" w:sz="0" w:space="0" w:color="auto"/>
            <w:right w:val="none" w:sz="0" w:space="0" w:color="auto"/>
          </w:divBdr>
          <w:divsChild>
            <w:div w:id="1534617208">
              <w:marLeft w:val="0"/>
              <w:marRight w:val="0"/>
              <w:marTop w:val="75"/>
              <w:marBottom w:val="300"/>
              <w:divBdr>
                <w:top w:val="none" w:sz="0" w:space="0" w:color="auto"/>
                <w:left w:val="none" w:sz="0" w:space="0" w:color="auto"/>
                <w:bottom w:val="none" w:sz="0" w:space="0" w:color="auto"/>
                <w:right w:val="none" w:sz="0" w:space="0" w:color="auto"/>
              </w:divBdr>
            </w:div>
            <w:div w:id="153461721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4947</Characters>
  <Application>Microsoft Office Word</Application>
  <DocSecurity>0</DocSecurity>
  <Lines>41</Lines>
  <Paragraphs>11</Paragraphs>
  <ScaleCrop>false</ScaleCrop>
  <Company>ANVISA</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