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4024" w:rsidRDefault="003355A3" w:rsidP="004E4024">
      <w:pPr>
        <w:spacing w:after="200"/>
        <w:ind w:left="-567" w:right="-568"/>
        <w:jc w:val="center"/>
        <w:rPr>
          <w:b/>
          <w:sz w:val="23"/>
          <w:szCs w:val="23"/>
        </w:rPr>
      </w:pPr>
      <w:r w:rsidRPr="004E4024">
        <w:rPr>
          <w:b/>
          <w:sz w:val="23"/>
          <w:szCs w:val="23"/>
        </w:rPr>
        <w:t xml:space="preserve">RESOLUÇÃO DA DIRETORIA COLEGIADA - RDC </w:t>
      </w:r>
      <w:r w:rsidR="00732EB5" w:rsidRPr="004E4024">
        <w:rPr>
          <w:b/>
          <w:sz w:val="23"/>
          <w:szCs w:val="23"/>
        </w:rPr>
        <w:t>N° 187, DE 8 DE NOVEMBRO DE 2017</w:t>
      </w:r>
    </w:p>
    <w:p w:rsidR="004E4024" w:rsidRPr="004E4024" w:rsidRDefault="004E4024" w:rsidP="004E4024">
      <w:pPr>
        <w:spacing w:after="200"/>
        <w:ind w:left="-567" w:right="-568"/>
        <w:jc w:val="center"/>
        <w:rPr>
          <w:b/>
          <w:color w:val="0000FF"/>
          <w:szCs w:val="23"/>
        </w:rPr>
      </w:pPr>
      <w:r w:rsidRPr="004E4024">
        <w:rPr>
          <w:b/>
          <w:color w:val="0000FF"/>
          <w:szCs w:val="23"/>
        </w:rPr>
        <w:t>(Publicada no DOU nº 215, de 9 de novembro de 2017)</w:t>
      </w:r>
    </w:p>
    <w:p w:rsidR="004E4024" w:rsidRDefault="00517C27" w:rsidP="004E4024">
      <w:pPr>
        <w:spacing w:after="200"/>
        <w:ind w:left="3969"/>
        <w:jc w:val="both"/>
      </w:pPr>
      <w:r w:rsidRPr="004E4024">
        <w:t xml:space="preserve">Dispõe sobre o registro de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Pr="004E4024">
        <w:t xml:space="preserve"> e dá outras providências.</w:t>
      </w:r>
    </w:p>
    <w:p w:rsidR="004E4024" w:rsidRDefault="000B4F31" w:rsidP="004E4024">
      <w:pPr>
        <w:spacing w:after="200"/>
        <w:ind w:firstLine="567"/>
        <w:jc w:val="both"/>
      </w:pPr>
      <w:r w:rsidRPr="004E4024">
        <w:t>A Diretoria Colegiada da Agência Nacional de Vigilância Sanitária, no uso da atribuição que lhe conferem o art. 15, III e IV aliado ao art. 7º, III, e IV, da Lei nº 9.782, de 26 de janeiro de 1999, com a nova redação dada pela Lei nº 13.097, de 19 de janeiro de 2015, o art. 53, V, §§ 1º e 3º do Regimento Interno aprovado nos termos do Anexo I da Resolução da Diretoria Colegiada - RDC nº 61, de 3 de fevereiro de 2016, resolve adotar a seguinte Resolução da Diretoria Colegiada, conforme deliberado em reunião realiz</w:t>
      </w:r>
      <w:r w:rsidR="005513E6" w:rsidRPr="004E4024">
        <w:t xml:space="preserve">ada em </w:t>
      </w:r>
      <w:r w:rsidR="006B4D34" w:rsidRPr="004E4024">
        <w:t xml:space="preserve">31 de outubro </w:t>
      </w:r>
      <w:r w:rsidR="005513E6" w:rsidRPr="004E4024">
        <w:t>de</w:t>
      </w:r>
      <w:r w:rsidR="006B4D34" w:rsidRPr="004E4024">
        <w:t xml:space="preserve"> </w:t>
      </w:r>
      <w:r w:rsidR="005513E6" w:rsidRPr="004E4024">
        <w:t xml:space="preserve"> 2017</w:t>
      </w:r>
      <w:r w:rsidRPr="004E4024">
        <w:t>, e eu, Diretor-Presidente, determino a sua publicação.</w:t>
      </w:r>
    </w:p>
    <w:p w:rsidR="00517C27" w:rsidRPr="004E4024" w:rsidRDefault="00517C27" w:rsidP="004E4024">
      <w:pPr>
        <w:tabs>
          <w:tab w:val="left" w:pos="0"/>
        </w:tabs>
        <w:spacing w:after="200"/>
        <w:jc w:val="center"/>
        <w:rPr>
          <w:b/>
        </w:rPr>
      </w:pPr>
      <w:r w:rsidRPr="004E4024">
        <w:rPr>
          <w:b/>
        </w:rPr>
        <w:t>CAPÍTULO I</w:t>
      </w:r>
    </w:p>
    <w:p w:rsidR="004E4024" w:rsidRDefault="00517C27" w:rsidP="004E4024">
      <w:pPr>
        <w:tabs>
          <w:tab w:val="left" w:pos="0"/>
        </w:tabs>
        <w:spacing w:after="200"/>
        <w:jc w:val="center"/>
        <w:rPr>
          <w:b/>
        </w:rPr>
      </w:pPr>
      <w:r w:rsidRPr="004E4024">
        <w:rPr>
          <w:b/>
        </w:rPr>
        <w:t>DAS DISPOSIÇÕES INICIAIS</w:t>
      </w:r>
    </w:p>
    <w:p w:rsidR="00517C27" w:rsidRP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Seção I</w:t>
      </w:r>
    </w:p>
    <w:p w:rsid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Objetivo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1º </w:t>
      </w:r>
      <w:r w:rsidR="00646FDB" w:rsidRPr="004E4024">
        <w:t>E</w:t>
      </w:r>
      <w:r w:rsidRPr="004E4024">
        <w:t xml:space="preserve">stabelece os requisitos mínimos para o registro de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Pr="004E4024">
        <w:t xml:space="preserve">, visando </w:t>
      </w:r>
      <w:r w:rsidR="00646FDB" w:rsidRPr="004E4024">
        <w:t xml:space="preserve">a </w:t>
      </w:r>
      <w:r w:rsidRPr="004E4024">
        <w:t xml:space="preserve">garantir a qualidade, </w:t>
      </w:r>
      <w:r w:rsidR="00646FDB" w:rsidRPr="004E4024">
        <w:t xml:space="preserve">a </w:t>
      </w:r>
      <w:r w:rsidRPr="004E4024">
        <w:t xml:space="preserve">segurança e </w:t>
      </w:r>
      <w:r w:rsidR="00646FDB" w:rsidRPr="004E4024">
        <w:t xml:space="preserve">a </w:t>
      </w:r>
      <w:r w:rsidRPr="004E4024">
        <w:t>eficácia destes produtos.</w:t>
      </w:r>
    </w:p>
    <w:p w:rsidR="00517C27" w:rsidRP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Seção II</w:t>
      </w:r>
    </w:p>
    <w:p w:rsid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Abrangência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2º Esta </w:t>
      </w:r>
      <w:r w:rsidR="00516701" w:rsidRPr="004E4024">
        <w:t>R</w:t>
      </w:r>
      <w:r w:rsidRPr="004E4024">
        <w:t>esolução aplica</w:t>
      </w:r>
      <w:r w:rsidR="00646FDB" w:rsidRPr="004E4024">
        <w:t>-se</w:t>
      </w:r>
      <w:r w:rsidRPr="004E4024">
        <w:t xml:space="preserve"> a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="00E70E3C" w:rsidRPr="004E4024">
        <w:t xml:space="preserve"> </w:t>
      </w:r>
      <w:r w:rsidRPr="004E4024">
        <w:t xml:space="preserve">submetidos </w:t>
      </w:r>
      <w:r w:rsidR="006A558F" w:rsidRPr="004E4024">
        <w:t>à</w:t>
      </w:r>
      <w:r w:rsidR="00646FDB" w:rsidRPr="004E4024">
        <w:t xml:space="preserve"> </w:t>
      </w:r>
      <w:r w:rsidRPr="004E4024">
        <w:t xml:space="preserve">análise </w:t>
      </w:r>
      <w:r w:rsidR="00203FAC" w:rsidRPr="004E4024">
        <w:t>para</w:t>
      </w:r>
      <w:r w:rsidRPr="004E4024">
        <w:t xml:space="preserve"> </w:t>
      </w:r>
      <w:r w:rsidR="00E666AB" w:rsidRPr="004E4024">
        <w:t xml:space="preserve">fins de </w:t>
      </w:r>
      <w:r w:rsidRPr="004E4024">
        <w:t>concessão de registro.</w:t>
      </w:r>
    </w:p>
    <w:p w:rsidR="004E4024" w:rsidRDefault="009C3E10" w:rsidP="004E4024">
      <w:pPr>
        <w:spacing w:after="200"/>
        <w:ind w:firstLine="567"/>
        <w:jc w:val="both"/>
      </w:pPr>
      <w:r w:rsidRPr="004E4024">
        <w:t xml:space="preserve">Art. 3º Devido à origem biológica de seus Princípios Ativos e à diversidade dos processos tecnológicos utilizados na obtenção desses produtos, todas as solicitações de registro de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Pr="004E4024">
        <w:t xml:space="preserve"> serão analisadas de acordo com os requisitos estabelecidos nesta Resolução.</w:t>
      </w:r>
    </w:p>
    <w:p w:rsidR="00517C27" w:rsidRPr="004E4024" w:rsidRDefault="00517C27" w:rsidP="004E4024">
      <w:pPr>
        <w:spacing w:after="200"/>
        <w:jc w:val="both"/>
      </w:pPr>
    </w:p>
    <w:p w:rsidR="00517C27" w:rsidRP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Seção III</w:t>
      </w:r>
    </w:p>
    <w:p w:rsid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Definições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4</w:t>
      </w:r>
      <w:r w:rsidRPr="004E4024">
        <w:t>º Para efeito desta Resolução são adotadas as seguintes definições:</w:t>
      </w:r>
    </w:p>
    <w:p w:rsidR="004E4024" w:rsidRDefault="00DC0FC5" w:rsidP="004E4024">
      <w:pPr>
        <w:spacing w:after="200"/>
        <w:ind w:firstLine="567"/>
        <w:jc w:val="both"/>
      </w:pPr>
      <w:r w:rsidRPr="004E4024">
        <w:t xml:space="preserve">I - </w:t>
      </w:r>
      <w:r w:rsidR="00D05189" w:rsidRPr="004E4024">
        <w:t>C</w:t>
      </w:r>
      <w:r w:rsidRPr="004E4024">
        <w:t>ontaminantes: sustâncias indesejadas de natureza química</w:t>
      </w:r>
      <w:r w:rsidR="00646FDB" w:rsidRPr="004E4024">
        <w:t xml:space="preserve"> ou </w:t>
      </w:r>
      <w:r w:rsidRPr="004E4024">
        <w:t>microbiológica</w:t>
      </w:r>
      <w:r w:rsidR="00646FDB" w:rsidRPr="004E4024">
        <w:t>,</w:t>
      </w:r>
      <w:r w:rsidRPr="004E4024">
        <w:t xml:space="preserve"> ou corpos estranhos, introduzidos nas matérias-primas ou produtos intermediários durante a produção, amostragem, embalagem ou </w:t>
      </w:r>
      <w:proofErr w:type="spellStart"/>
      <w:r w:rsidRPr="004E4024">
        <w:t>reembalagem</w:t>
      </w:r>
      <w:proofErr w:type="spellEnd"/>
      <w:r w:rsidRPr="004E4024">
        <w:t>, armazenamento ou transporte;</w:t>
      </w:r>
    </w:p>
    <w:p w:rsidR="004E4024" w:rsidRDefault="002C03D7" w:rsidP="004E4024">
      <w:pPr>
        <w:spacing w:after="200"/>
        <w:ind w:firstLine="567"/>
        <w:jc w:val="both"/>
      </w:pPr>
      <w:r w:rsidRPr="004E4024">
        <w:lastRenderedPageBreak/>
        <w:t>I</w:t>
      </w:r>
      <w:r w:rsidR="00D05189" w:rsidRPr="004E4024">
        <w:t>I</w:t>
      </w:r>
      <w:r w:rsidRPr="004E4024">
        <w:t xml:space="preserve"> - </w:t>
      </w:r>
      <w:r w:rsidR="001C54E3" w:rsidRPr="004E4024">
        <w:t xml:space="preserve">Dose Efetiva 50% (DE50): quantidade de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1C54E3" w:rsidRPr="004E4024">
        <w:t xml:space="preserve"> </w:t>
      </w:r>
      <w:r w:rsidR="009250AA" w:rsidRPr="004E4024">
        <w:t xml:space="preserve">necessária para </w:t>
      </w:r>
      <w:r w:rsidR="001C54E3" w:rsidRPr="004E4024">
        <w:t>protege</w:t>
      </w:r>
      <w:r w:rsidR="009250AA" w:rsidRPr="004E4024">
        <w:t>r</w:t>
      </w:r>
      <w:r w:rsidR="001C54E3" w:rsidRPr="004E4024">
        <w:t xml:space="preserve"> 50% dos animais testados injetados com </w:t>
      </w:r>
      <w:r w:rsidR="00F57589" w:rsidRPr="004E4024">
        <w:t xml:space="preserve">determinada </w:t>
      </w:r>
      <w:r w:rsidR="001C54E3" w:rsidRPr="004E4024">
        <w:t xml:space="preserve">quantidade de </w:t>
      </w:r>
      <w:r w:rsidR="008243DE" w:rsidRPr="004E4024">
        <w:t>Material-Fonte</w:t>
      </w:r>
      <w:r w:rsidR="001731E9" w:rsidRPr="004E4024">
        <w:t>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II</w:t>
      </w:r>
      <w:r w:rsidR="00517C27" w:rsidRPr="004E4024">
        <w:t xml:space="preserve">I - Fabricante: pessoa jurídica responsável pela fabricação do </w:t>
      </w:r>
      <w:r w:rsidR="006971B3" w:rsidRPr="004E4024">
        <w:t>produto</w:t>
      </w:r>
      <w:r w:rsidR="00517C27" w:rsidRPr="004E4024">
        <w:t xml:space="preserve"> </w:t>
      </w:r>
      <w:r w:rsidR="0046281A" w:rsidRPr="004E4024">
        <w:t xml:space="preserve">a partir da purificação do plasma </w:t>
      </w:r>
      <w:proofErr w:type="spellStart"/>
      <w:r w:rsidR="0046281A" w:rsidRPr="004E4024">
        <w:t>hiperimune</w:t>
      </w:r>
      <w:proofErr w:type="spellEnd"/>
      <w:r w:rsidR="00517C27" w:rsidRPr="004E4024">
        <w:t xml:space="preserve"> até a </w:t>
      </w:r>
      <w:r w:rsidR="0069165D" w:rsidRPr="004E4024">
        <w:t xml:space="preserve">sua </w:t>
      </w:r>
      <w:r w:rsidR="00517C27" w:rsidRPr="004E4024">
        <w:t>embalagem secundária</w:t>
      </w:r>
      <w:r w:rsidR="0069165D" w:rsidRPr="004E4024">
        <w:t>;</w:t>
      </w:r>
    </w:p>
    <w:p w:rsidR="004E4024" w:rsidRDefault="00D05189" w:rsidP="004E4024">
      <w:pPr>
        <w:spacing w:after="200"/>
        <w:ind w:firstLine="567"/>
        <w:jc w:val="both"/>
      </w:pPr>
      <w:r w:rsidRPr="004E4024">
        <w:t>IV - Impureza: qualquer componente da substância ativa ou do produto acabado que não seja a entidade química definida como substância ativa, um excipiente ou outros aditivos do produto acabado;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V</w:t>
      </w:r>
      <w:r w:rsidR="003F7663" w:rsidRPr="004E4024">
        <w:t xml:space="preserve"> - </w:t>
      </w:r>
      <w:r w:rsidR="008243DE" w:rsidRPr="004E4024">
        <w:t>Material-Fonte</w:t>
      </w:r>
      <w:r w:rsidR="003F7663" w:rsidRPr="004E4024">
        <w:t>: qualquer antígeno que</w:t>
      </w:r>
      <w:r w:rsidR="00E666AB" w:rsidRPr="004E4024">
        <w:t>,</w:t>
      </w:r>
      <w:r w:rsidR="003F7663" w:rsidRPr="004E4024">
        <w:t xml:space="preserve"> ao ser administrado no animal</w:t>
      </w:r>
      <w:r w:rsidR="00E666AB" w:rsidRPr="004E4024">
        <w:t>,</w:t>
      </w:r>
      <w:r w:rsidR="003F7663" w:rsidRPr="004E4024">
        <w:t xml:space="preserve"> </w:t>
      </w:r>
      <w:r w:rsidR="008243DE" w:rsidRPr="004E4024">
        <w:t xml:space="preserve">seja </w:t>
      </w:r>
      <w:r w:rsidR="003F7663" w:rsidRPr="004E4024">
        <w:t xml:space="preserve">capaz de induzir a produção de plasma </w:t>
      </w:r>
      <w:proofErr w:type="spellStart"/>
      <w:r w:rsidR="003F7663" w:rsidRPr="004E4024">
        <w:t>hiperimune</w:t>
      </w:r>
      <w:proofErr w:type="spellEnd"/>
      <w:r w:rsidR="003F7663" w:rsidRPr="004E4024">
        <w:t xml:space="preserve"> contendo imunoglobulina específica</w:t>
      </w:r>
      <w:r w:rsidR="0069165D" w:rsidRPr="004E4024">
        <w:t>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V</w:t>
      </w:r>
      <w:r w:rsidR="00D05189" w:rsidRPr="004E4024">
        <w:t>I</w:t>
      </w:r>
      <w:r w:rsidR="00A9368B" w:rsidRPr="004E4024">
        <w:t xml:space="preserve"> - </w:t>
      </w:r>
      <w:r w:rsidR="008243DE" w:rsidRPr="004E4024">
        <w:t xml:space="preserve">Plasma </w:t>
      </w:r>
      <w:proofErr w:type="spellStart"/>
      <w:r w:rsidR="008243DE" w:rsidRPr="004E4024">
        <w:t>Hiperimune</w:t>
      </w:r>
      <w:proofErr w:type="spellEnd"/>
      <w:r w:rsidR="008243DE" w:rsidRPr="004E4024">
        <w:t xml:space="preserve"> Individual</w:t>
      </w:r>
      <w:r w:rsidR="00A9368B" w:rsidRPr="004E4024">
        <w:t xml:space="preserve">: plasma obtido da sangria de </w:t>
      </w:r>
      <w:r w:rsidR="008243DE" w:rsidRPr="004E4024">
        <w:t>1 (</w:t>
      </w:r>
      <w:r w:rsidR="00A9368B" w:rsidRPr="004E4024">
        <w:t>um</w:t>
      </w:r>
      <w:r w:rsidR="008243DE" w:rsidRPr="004E4024">
        <w:t>)</w:t>
      </w:r>
      <w:r w:rsidR="00A9368B" w:rsidRPr="004E4024">
        <w:t xml:space="preserve"> único animal </w:t>
      </w:r>
      <w:proofErr w:type="spellStart"/>
      <w:r w:rsidR="00A9368B" w:rsidRPr="004E4024">
        <w:t>hiperimunizado</w:t>
      </w:r>
      <w:proofErr w:type="spellEnd"/>
      <w:r w:rsidR="00A9368B" w:rsidRPr="004E4024">
        <w:t xml:space="preserve"> com </w:t>
      </w:r>
      <w:r w:rsidR="008243DE" w:rsidRPr="004E4024">
        <w:t>Material-Fonte</w:t>
      </w:r>
      <w:r w:rsidR="00A9368B" w:rsidRPr="004E4024">
        <w:t>;</w:t>
      </w:r>
    </w:p>
    <w:p w:rsidR="004E4024" w:rsidRDefault="00A9368B" w:rsidP="004E4024">
      <w:pPr>
        <w:spacing w:after="200"/>
        <w:ind w:firstLine="567"/>
        <w:jc w:val="both"/>
      </w:pPr>
      <w:r w:rsidRPr="004E4024">
        <w:t>V</w:t>
      </w:r>
      <w:r w:rsidR="002C03D7" w:rsidRPr="004E4024">
        <w:t>I</w:t>
      </w:r>
      <w:r w:rsidR="00D05189" w:rsidRPr="004E4024">
        <w:t>I</w:t>
      </w:r>
      <w:r w:rsidRPr="004E4024">
        <w:t xml:space="preserve"> - Pool de </w:t>
      </w:r>
      <w:r w:rsidR="008243DE" w:rsidRPr="004E4024">
        <w:t>P</w:t>
      </w:r>
      <w:r w:rsidRPr="004E4024">
        <w:t xml:space="preserve">lasma </w:t>
      </w:r>
      <w:proofErr w:type="spellStart"/>
      <w:r w:rsidR="008243DE" w:rsidRPr="004E4024">
        <w:t>Hiperimune</w:t>
      </w:r>
      <w:proofErr w:type="spellEnd"/>
      <w:r w:rsidRPr="004E4024">
        <w:t xml:space="preserve">: plasma obtido pela mistura de </w:t>
      </w:r>
      <w:r w:rsidR="008243DE" w:rsidRPr="004E4024">
        <w:t>2 (</w:t>
      </w:r>
      <w:r w:rsidRPr="004E4024">
        <w:t>dois</w:t>
      </w:r>
      <w:r w:rsidR="008243DE" w:rsidRPr="004E4024">
        <w:t>)</w:t>
      </w:r>
      <w:r w:rsidRPr="004E4024">
        <w:t xml:space="preserve"> ou mais plasmas </w:t>
      </w:r>
      <w:proofErr w:type="spellStart"/>
      <w:r w:rsidRPr="004E4024">
        <w:t>hiperimunes</w:t>
      </w:r>
      <w:proofErr w:type="spellEnd"/>
      <w:r w:rsidRPr="004E4024">
        <w:t xml:space="preserve"> individua</w:t>
      </w:r>
      <w:r w:rsidR="00BC188A" w:rsidRPr="004E4024">
        <w:t>is</w:t>
      </w:r>
      <w:r w:rsidRPr="004E4024">
        <w:t>;</w:t>
      </w:r>
    </w:p>
    <w:p w:rsidR="004E4024" w:rsidRDefault="00A9368B" w:rsidP="004E4024">
      <w:pPr>
        <w:spacing w:after="200"/>
        <w:ind w:firstLine="567"/>
        <w:jc w:val="both"/>
      </w:pPr>
      <w:r w:rsidRPr="004E4024">
        <w:t>V</w:t>
      </w:r>
      <w:r w:rsidR="002C03D7" w:rsidRPr="004E4024">
        <w:t>II</w:t>
      </w:r>
      <w:r w:rsidR="00D05189" w:rsidRPr="004E4024">
        <w:t>I</w:t>
      </w:r>
      <w:r w:rsidRPr="004E4024">
        <w:t xml:space="preserve"> - </w:t>
      </w:r>
      <w:r w:rsidR="008243DE" w:rsidRPr="004E4024">
        <w:t>Princípio Ativo</w:t>
      </w:r>
      <w:r w:rsidR="00196766" w:rsidRPr="004E4024">
        <w:t>:</w:t>
      </w:r>
      <w:r w:rsidR="006D7ECA" w:rsidRPr="004E4024">
        <w:t xml:space="preserve"> substância com efeito </w:t>
      </w:r>
      <w:r w:rsidR="00C969AE" w:rsidRPr="004E4024">
        <w:t>biológico</w:t>
      </w:r>
      <w:r w:rsidR="006D7ECA" w:rsidRPr="004E4024">
        <w:t xml:space="preserve"> para a atividade terapêutica pretendida, </w:t>
      </w:r>
      <w:r w:rsidR="00C9715F" w:rsidRPr="004E4024">
        <w:t xml:space="preserve">obtida a partir do fracionamento e </w:t>
      </w:r>
      <w:r w:rsidR="008243DE" w:rsidRPr="004E4024">
        <w:t xml:space="preserve">da </w:t>
      </w:r>
      <w:r w:rsidR="00C9715F" w:rsidRPr="004E4024">
        <w:t xml:space="preserve">purificação do plasma </w:t>
      </w:r>
      <w:proofErr w:type="spellStart"/>
      <w:r w:rsidR="00C9715F" w:rsidRPr="004E4024">
        <w:t>hiperimune</w:t>
      </w:r>
      <w:proofErr w:type="spellEnd"/>
      <w:r w:rsidR="00C9715F" w:rsidRPr="004E4024">
        <w:t xml:space="preserve">, </w:t>
      </w:r>
      <w:r w:rsidR="006D7ECA" w:rsidRPr="004E4024">
        <w:t xml:space="preserve">utilizada na produção de determinado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6D7ECA" w:rsidRPr="004E4024">
        <w:t>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I</w:t>
      </w:r>
      <w:r w:rsidR="00D05189" w:rsidRPr="004E4024">
        <w:t>X</w:t>
      </w:r>
      <w:r w:rsidR="00A9368B" w:rsidRPr="004E4024">
        <w:t xml:space="preserve"> - </w:t>
      </w:r>
      <w:r w:rsidR="009A290D" w:rsidRPr="004E4024">
        <w:t>Produto a Granel</w:t>
      </w:r>
      <w:r w:rsidR="006D7ECA" w:rsidRPr="004E4024">
        <w:t xml:space="preserve">: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1A7389" w:rsidRPr="004E4024" w:rsidDel="001A7389">
        <w:t xml:space="preserve"> </w:t>
      </w:r>
      <w:r w:rsidR="009A290D" w:rsidRPr="004E4024">
        <w:t xml:space="preserve">a granel, </w:t>
      </w:r>
      <w:r w:rsidR="006D7ECA" w:rsidRPr="004E4024">
        <w:t>que tenha</w:t>
      </w:r>
      <w:r w:rsidR="0069165D" w:rsidRPr="004E4024">
        <w:t xml:space="preserve"> completado todas as etapas de produção, </w:t>
      </w:r>
      <w:r w:rsidR="006D7ECA" w:rsidRPr="004E4024">
        <w:t xml:space="preserve">estéril, se aplicável, e </w:t>
      </w:r>
      <w:r w:rsidR="00EB4E6D" w:rsidRPr="004E4024">
        <w:t xml:space="preserve">que tenha sido </w:t>
      </w:r>
      <w:r w:rsidR="006D7ECA" w:rsidRPr="004E4024">
        <w:t xml:space="preserve">liberado pelo controle de qualidade do </w:t>
      </w:r>
      <w:r w:rsidR="008243DE" w:rsidRPr="004E4024">
        <w:t>Fabricante</w:t>
      </w:r>
      <w:r w:rsidR="006D7ECA" w:rsidRPr="004E4024">
        <w:t>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X</w:t>
      </w:r>
      <w:r w:rsidR="00A9368B" w:rsidRPr="004E4024">
        <w:t xml:space="preserve"> </w:t>
      </w:r>
      <w:r w:rsidR="00BC188A" w:rsidRPr="004E4024">
        <w:t>-</w:t>
      </w:r>
      <w:r w:rsidR="00A9368B" w:rsidRPr="004E4024">
        <w:t xml:space="preserve"> </w:t>
      </w:r>
      <w:r w:rsidR="009A290D" w:rsidRPr="004E4024">
        <w:t>Produto Biológico</w:t>
      </w:r>
      <w:r w:rsidR="00A9368B" w:rsidRPr="004E4024">
        <w:t xml:space="preserve">: medicamento biológico não novo ou conhecido que contém molécula com atividade biológica conhecida, já registrado no Brasil e que tenha passado por todas as etapas de fabricação (formulação, envase, liofilização, rotulagem, embalagem, armazenamento, controle de qualidade e liberação do lote de </w:t>
      </w:r>
      <w:r w:rsidR="009A290D" w:rsidRPr="004E4024">
        <w:t>Produto Biológico</w:t>
      </w:r>
      <w:r w:rsidR="00A9368B" w:rsidRPr="004E4024">
        <w:t xml:space="preserve"> para uso);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X</w:t>
      </w:r>
      <w:r w:rsidR="00D05189" w:rsidRPr="004E4024">
        <w:t>I</w:t>
      </w:r>
      <w:r w:rsidR="00A9368B" w:rsidRPr="004E4024">
        <w:t xml:space="preserve"> - </w:t>
      </w:r>
      <w:r w:rsidR="009A290D" w:rsidRPr="004E4024">
        <w:t>Produto Biológico Novo</w:t>
      </w:r>
      <w:r w:rsidR="00A9368B" w:rsidRPr="004E4024">
        <w:t xml:space="preserve">: medicamento biológico que contém molécula com atividade biológica conhecida, ainda não registrado no Brasil e que tenha passado por todas as etapas de fabricação (formulação, envase, liofilização, rotulagem, embalagem, armazenamento, controle de qualidade e liberação do lote de </w:t>
      </w:r>
      <w:r w:rsidR="000618A1" w:rsidRPr="004E4024">
        <w:t>Produto</w:t>
      </w:r>
      <w:r w:rsidR="00A9368B" w:rsidRPr="004E4024">
        <w:t xml:space="preserve"> </w:t>
      </w:r>
      <w:r w:rsidR="000618A1" w:rsidRPr="004E4024">
        <w:t>B</w:t>
      </w:r>
      <w:r w:rsidR="00A9368B" w:rsidRPr="004E4024">
        <w:t xml:space="preserve">iológico </w:t>
      </w:r>
      <w:r w:rsidR="000618A1" w:rsidRPr="004E4024">
        <w:t>N</w:t>
      </w:r>
      <w:r w:rsidR="00A9368B" w:rsidRPr="004E4024">
        <w:t>ovo para uso);</w:t>
      </w:r>
    </w:p>
    <w:p w:rsidR="004E4024" w:rsidRDefault="00A9368B" w:rsidP="004E4024">
      <w:pPr>
        <w:spacing w:after="200"/>
        <w:ind w:firstLine="567"/>
        <w:jc w:val="both"/>
      </w:pPr>
      <w:r w:rsidRPr="004E4024">
        <w:t>X</w:t>
      </w:r>
      <w:r w:rsidR="002C03D7" w:rsidRPr="004E4024">
        <w:t>I</w:t>
      </w:r>
      <w:r w:rsidR="00D05189" w:rsidRPr="004E4024">
        <w:t>I</w:t>
      </w:r>
      <w:r w:rsidRPr="004E4024">
        <w:t xml:space="preserve"> - </w:t>
      </w:r>
      <w:r w:rsidR="009A290D" w:rsidRPr="004E4024">
        <w:t>Produto em sua Embalagem Primária</w:t>
      </w:r>
      <w:r w:rsidR="006D7ECA" w:rsidRPr="004E4024">
        <w:t xml:space="preserve">: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1A7389" w:rsidRPr="004E4024" w:rsidDel="001A7389">
        <w:t xml:space="preserve"> </w:t>
      </w:r>
      <w:r w:rsidR="006D7ECA" w:rsidRPr="004E4024">
        <w:t xml:space="preserve">que tenha completado todas as etapas de produção, </w:t>
      </w:r>
      <w:r w:rsidR="009A290D" w:rsidRPr="004E4024">
        <w:t xml:space="preserve">sem incluir o processo de rotulagem e embalagem, </w:t>
      </w:r>
      <w:r w:rsidR="006D7ECA" w:rsidRPr="004E4024">
        <w:t>formulado em sua forma farmacêutica final, contido em seu recipiente final (embalagem primária), estéril</w:t>
      </w:r>
      <w:r w:rsidR="000618A1" w:rsidRPr="004E4024">
        <w:t xml:space="preserve"> </w:t>
      </w:r>
      <w:r w:rsidR="006D7ECA" w:rsidRPr="004E4024">
        <w:t xml:space="preserve">e liberado pelo controle de qualidade do </w:t>
      </w:r>
      <w:r w:rsidR="008243DE" w:rsidRPr="004E4024">
        <w:t>Fabricante</w:t>
      </w:r>
      <w:r w:rsidR="006D7ECA" w:rsidRPr="004E4024">
        <w:t>;</w:t>
      </w:r>
    </w:p>
    <w:p w:rsidR="004E4024" w:rsidRDefault="00A9368B" w:rsidP="004E4024">
      <w:pPr>
        <w:spacing w:after="200"/>
        <w:ind w:firstLine="567"/>
        <w:jc w:val="both"/>
      </w:pPr>
      <w:r w:rsidRPr="004E4024">
        <w:t>X</w:t>
      </w:r>
      <w:r w:rsidR="002C03D7" w:rsidRPr="004E4024">
        <w:t>II</w:t>
      </w:r>
      <w:r w:rsidR="00D05189" w:rsidRPr="004E4024">
        <w:t>I</w:t>
      </w:r>
      <w:r w:rsidRPr="004E4024">
        <w:t xml:space="preserve"> - </w:t>
      </w:r>
      <w:r w:rsidR="009A290D" w:rsidRPr="004E4024">
        <w:t>Produto Intermediário</w:t>
      </w:r>
      <w:r w:rsidR="006D7ECA" w:rsidRPr="004E4024">
        <w:t xml:space="preserve">: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6D7ECA" w:rsidRPr="004E4024">
        <w:t xml:space="preserve"> parcialmente processado</w:t>
      </w:r>
      <w:r w:rsidR="0029316B" w:rsidRPr="004E4024">
        <w:t xml:space="preserve"> ou concentrado</w:t>
      </w:r>
      <w:r w:rsidR="006D7ECA" w:rsidRPr="004E4024">
        <w:t xml:space="preserve">, que será submetido às </w:t>
      </w:r>
      <w:r w:rsidR="00516701" w:rsidRPr="004E4024">
        <w:t>subsequentes</w:t>
      </w:r>
      <w:r w:rsidR="006D7ECA" w:rsidRPr="004E4024">
        <w:t xml:space="preserve"> etapas de fabricação, antes de se tornar </w:t>
      </w:r>
      <w:r w:rsidR="009A290D" w:rsidRPr="004E4024">
        <w:t>Produto a Granel</w:t>
      </w:r>
      <w:r w:rsidR="006D7ECA" w:rsidRPr="004E4024">
        <w:t>;</w:t>
      </w:r>
    </w:p>
    <w:p w:rsidR="004E4024" w:rsidRDefault="00A9368B" w:rsidP="004E4024">
      <w:pPr>
        <w:spacing w:after="200"/>
        <w:ind w:firstLine="567"/>
        <w:jc w:val="both"/>
      </w:pPr>
      <w:r w:rsidRPr="004E4024">
        <w:lastRenderedPageBreak/>
        <w:t>X</w:t>
      </w:r>
      <w:r w:rsidR="002C03D7" w:rsidRPr="004E4024">
        <w:t>I</w:t>
      </w:r>
      <w:r w:rsidR="00D05189" w:rsidRPr="004E4024">
        <w:t>V</w:t>
      </w:r>
      <w:r w:rsidRPr="004E4024">
        <w:t xml:space="preserve"> - </w:t>
      </w:r>
      <w:r w:rsidR="009A290D" w:rsidRPr="004E4024">
        <w:t>Produto Terminado</w:t>
      </w:r>
      <w:r w:rsidR="00517C27" w:rsidRPr="004E4024">
        <w:t xml:space="preserve">: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517C27" w:rsidRPr="004E4024">
        <w:t xml:space="preserve"> que tenha </w:t>
      </w:r>
      <w:r w:rsidR="00CF63C3" w:rsidRPr="004E4024">
        <w:t>completado</w:t>
      </w:r>
      <w:r w:rsidR="00517C27" w:rsidRPr="004E4024">
        <w:t xml:space="preserve"> todas as </w:t>
      </w:r>
      <w:r w:rsidR="00CF63C3" w:rsidRPr="004E4024">
        <w:t>fases</w:t>
      </w:r>
      <w:r w:rsidR="00517C27" w:rsidRPr="004E4024">
        <w:t xml:space="preserve"> de </w:t>
      </w:r>
      <w:r w:rsidR="00CF63C3" w:rsidRPr="004E4024">
        <w:t>produção</w:t>
      </w:r>
      <w:r w:rsidR="005F7460" w:rsidRPr="004E4024">
        <w:t>, incluindo o processo de rotulagem e embalagem;</w:t>
      </w:r>
    </w:p>
    <w:p w:rsidR="004E4024" w:rsidRDefault="002C03D7" w:rsidP="004E4024">
      <w:pPr>
        <w:spacing w:after="200"/>
        <w:ind w:firstLine="567"/>
        <w:jc w:val="both"/>
      </w:pPr>
      <w:r w:rsidRPr="004E4024">
        <w:t>XV</w:t>
      </w:r>
      <w:r w:rsidR="00A9368B" w:rsidRPr="004E4024">
        <w:t xml:space="preserve"> -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6971B3" w:rsidRPr="004E4024">
        <w:t xml:space="preserve">: </w:t>
      </w:r>
      <w:r w:rsidR="009A290D" w:rsidRPr="004E4024">
        <w:t>Produto Biológico</w:t>
      </w:r>
      <w:r w:rsidR="00D11FA0" w:rsidRPr="004E4024">
        <w:t xml:space="preserve"> </w:t>
      </w:r>
      <w:r w:rsidR="002B4178" w:rsidRPr="004E4024">
        <w:t xml:space="preserve">contendo </w:t>
      </w:r>
      <w:r w:rsidR="006971B3" w:rsidRPr="004E4024">
        <w:t xml:space="preserve">imunoglobulinas </w:t>
      </w:r>
      <w:proofErr w:type="spellStart"/>
      <w:r w:rsidR="006971B3" w:rsidRPr="004E4024">
        <w:t>heterólogas</w:t>
      </w:r>
      <w:proofErr w:type="spellEnd"/>
      <w:r w:rsidR="006971B3" w:rsidRPr="004E4024">
        <w:t xml:space="preserve"> inteiras ou fragmentadas, purificadas, obtidas a partir de plasma de animais </w:t>
      </w:r>
      <w:proofErr w:type="spellStart"/>
      <w:r w:rsidR="006971B3" w:rsidRPr="004E4024">
        <w:t>hiperimunizados</w:t>
      </w:r>
      <w:proofErr w:type="spellEnd"/>
      <w:r w:rsidR="006971B3" w:rsidRPr="004E4024">
        <w:t xml:space="preserve"> com </w:t>
      </w:r>
      <w:r w:rsidR="00EB4E6D" w:rsidRPr="004E4024">
        <w:t>Material-Fonte</w:t>
      </w:r>
      <w:r w:rsidR="00824EFF" w:rsidRPr="004E4024">
        <w:t>;</w:t>
      </w:r>
    </w:p>
    <w:p w:rsidR="004E4024" w:rsidRDefault="00035C9E" w:rsidP="004E4024">
      <w:pPr>
        <w:spacing w:after="200"/>
        <w:ind w:firstLine="567"/>
        <w:jc w:val="both"/>
      </w:pPr>
      <w:r w:rsidRPr="004E4024">
        <w:t>X</w:t>
      </w:r>
      <w:r w:rsidR="002C03D7" w:rsidRPr="004E4024">
        <w:t>V</w:t>
      </w:r>
      <w:r w:rsidR="00D05189" w:rsidRPr="004E4024">
        <w:t>I</w:t>
      </w:r>
      <w:r w:rsidRPr="004E4024">
        <w:t xml:space="preserve"> -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 </w:t>
      </w:r>
      <w:r w:rsidR="00CD5D36" w:rsidRPr="004E4024">
        <w:t>Monovalente</w:t>
      </w:r>
      <w:r w:rsidRPr="004E4024">
        <w:t xml:space="preserve">: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685C8E" w:rsidRPr="004E4024">
        <w:t xml:space="preserve"> cujo uso </w:t>
      </w:r>
      <w:r w:rsidR="00CD5D36" w:rsidRPr="004E4024">
        <w:t>se limita</w:t>
      </w:r>
      <w:r w:rsidRPr="004E4024">
        <w:t xml:space="preserve"> a única espécie de </w:t>
      </w:r>
      <w:r w:rsidR="00685C8E" w:rsidRPr="004E4024">
        <w:t xml:space="preserve">animal, microrganismo ou vírus, </w:t>
      </w:r>
      <w:r w:rsidRPr="004E4024">
        <w:t>ou a algumas espécies estreitamente relacionadas</w:t>
      </w:r>
      <w:r w:rsidR="00CD5D36" w:rsidRPr="004E4024">
        <w:t>,</w:t>
      </w:r>
      <w:r w:rsidRPr="004E4024">
        <w:t xml:space="preserve"> cujos venenos </w:t>
      </w:r>
      <w:r w:rsidR="00CD5D36" w:rsidRPr="004E4024">
        <w:t xml:space="preserve">demonstrem </w:t>
      </w:r>
      <w:r w:rsidRPr="004E4024">
        <w:t xml:space="preserve">neutralização cruzada </w:t>
      </w:r>
      <w:r w:rsidR="00824EFF" w:rsidRPr="004E4024">
        <w:t>clinicamente eficaz com o soro;</w:t>
      </w:r>
    </w:p>
    <w:p w:rsidR="004E4024" w:rsidRDefault="00685C8E" w:rsidP="004E4024">
      <w:pPr>
        <w:spacing w:after="200"/>
        <w:ind w:firstLine="567"/>
        <w:jc w:val="both"/>
      </w:pPr>
      <w:r w:rsidRPr="004E4024">
        <w:t>XV</w:t>
      </w:r>
      <w:r w:rsidR="002C03D7" w:rsidRPr="004E4024">
        <w:t>I</w:t>
      </w:r>
      <w:r w:rsidR="00D05189" w:rsidRPr="004E4024">
        <w:t>I</w:t>
      </w:r>
      <w:r w:rsidRPr="004E4024">
        <w:t xml:space="preserve"> -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 </w:t>
      </w:r>
      <w:r w:rsidR="00CD5D36" w:rsidRPr="004E4024">
        <w:t>Polivalente</w:t>
      </w:r>
      <w:r w:rsidRPr="004E4024">
        <w:t xml:space="preserve">: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 obtido pelo fracionamento do plasma de animais imunizados por uma mistura de </w:t>
      </w:r>
      <w:r w:rsidR="00CD5D36" w:rsidRPr="004E4024">
        <w:t>Materiais-Fonte</w:t>
      </w:r>
      <w:r w:rsidRPr="004E4024">
        <w:t xml:space="preserve"> </w:t>
      </w:r>
      <w:r w:rsidR="00213FD9" w:rsidRPr="004E4024">
        <w:t xml:space="preserve">ou a partir da mistura de diferentes </w:t>
      </w:r>
      <w:r w:rsidR="00CD5D36" w:rsidRPr="004E4024">
        <w:t>Produtos Intermediários</w:t>
      </w:r>
      <w:r w:rsidRPr="004E4024">
        <w:t xml:space="preserve">. </w:t>
      </w:r>
    </w:p>
    <w:p w:rsidR="00517C27" w:rsidRPr="004E4024" w:rsidRDefault="00517C27" w:rsidP="004E4024">
      <w:pPr>
        <w:tabs>
          <w:tab w:val="left" w:pos="0"/>
        </w:tabs>
        <w:spacing w:after="200"/>
        <w:jc w:val="center"/>
        <w:rPr>
          <w:b/>
        </w:rPr>
      </w:pPr>
      <w:r w:rsidRPr="004E4024">
        <w:rPr>
          <w:b/>
        </w:rPr>
        <w:t>CAPÍTULO II</w:t>
      </w:r>
    </w:p>
    <w:p w:rsidR="004E4024" w:rsidRDefault="00517C27" w:rsidP="004E4024">
      <w:pPr>
        <w:tabs>
          <w:tab w:val="left" w:pos="0"/>
        </w:tabs>
        <w:spacing w:after="200"/>
        <w:jc w:val="center"/>
        <w:rPr>
          <w:b/>
        </w:rPr>
      </w:pPr>
      <w:r w:rsidRPr="004E4024">
        <w:rPr>
          <w:b/>
        </w:rPr>
        <w:t>DAS DISPOSIÇÕES GERAIS</w:t>
      </w:r>
    </w:p>
    <w:p w:rsidR="004E4024" w:rsidRDefault="008D6157" w:rsidP="004E4024">
      <w:pPr>
        <w:spacing w:after="200"/>
        <w:ind w:firstLine="567"/>
        <w:jc w:val="both"/>
      </w:pPr>
      <w:r w:rsidRPr="004E4024">
        <w:t>Art. 5</w:t>
      </w:r>
      <w:r w:rsidR="00517C27" w:rsidRPr="004E4024">
        <w:t xml:space="preserve">º Somente </w:t>
      </w:r>
      <w:bookmarkStart w:id="0" w:name="OLE_LINK1"/>
      <w:bookmarkStart w:id="1" w:name="OLE_LINK2"/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="00517C27" w:rsidRPr="004E4024">
        <w:t xml:space="preserve"> </w:t>
      </w:r>
      <w:bookmarkEnd w:id="0"/>
      <w:bookmarkEnd w:id="1"/>
      <w:r w:rsidR="00517C27" w:rsidRPr="004E4024">
        <w:t xml:space="preserve">registrados na </w:t>
      </w:r>
      <w:r w:rsidR="00C404AF" w:rsidRPr="004E4024">
        <w:t xml:space="preserve">Agência Nacional de Vigilância Sanitária - </w:t>
      </w:r>
      <w:r w:rsidR="00517C27" w:rsidRPr="004E4024">
        <w:t xml:space="preserve">Anvisa, fabricados ou importados por estabelecimentos devidamente autorizados pelo </w:t>
      </w:r>
      <w:r w:rsidR="00984FE3" w:rsidRPr="004E4024">
        <w:t>G</w:t>
      </w:r>
      <w:r w:rsidR="00517C27" w:rsidRPr="004E4024">
        <w:t xml:space="preserve">overno </w:t>
      </w:r>
      <w:r w:rsidR="00984FE3" w:rsidRPr="004E4024">
        <w:t xml:space="preserve">Federal </w:t>
      </w:r>
      <w:r w:rsidR="00517C27" w:rsidRPr="004E4024">
        <w:t xml:space="preserve">e licenciados </w:t>
      </w:r>
      <w:r w:rsidR="00984FE3" w:rsidRPr="004E4024">
        <w:t>em âmbito</w:t>
      </w:r>
      <w:r w:rsidR="00517C27" w:rsidRPr="004E4024">
        <w:t xml:space="preserve"> estadual, poderão ser comercializados e distribuídos no País.</w:t>
      </w:r>
    </w:p>
    <w:p w:rsidR="004E4024" w:rsidRDefault="003F7663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6</w:t>
      </w:r>
      <w:r w:rsidRPr="004E4024">
        <w:t xml:space="preserve">º Os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Pr="004E4024">
        <w:t xml:space="preserve"> deverão ser registrados na Anvisa como </w:t>
      </w:r>
      <w:r w:rsidR="009A290D" w:rsidRPr="004E4024">
        <w:t>Produto Biológico Novo</w:t>
      </w:r>
      <w:r w:rsidRPr="004E4024">
        <w:t xml:space="preserve"> ou </w:t>
      </w:r>
      <w:r w:rsidR="009A290D" w:rsidRPr="004E4024">
        <w:t>Produto Biológico</w:t>
      </w:r>
      <w:r w:rsidR="00DC79EC" w:rsidRPr="004E4024">
        <w:t>, observado o caso concreto</w:t>
      </w:r>
      <w:r w:rsidRPr="004E4024">
        <w:t>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7</w:t>
      </w:r>
      <w:r w:rsidR="009C3E10" w:rsidRPr="004E4024">
        <w:t>º</w:t>
      </w:r>
      <w:r w:rsidRPr="004E4024">
        <w:t xml:space="preserve"> A Anvisa poderá</w:t>
      </w:r>
      <w:r w:rsidR="00D21113" w:rsidRPr="004E4024">
        <w:t>,</w:t>
      </w:r>
      <w:r w:rsidRPr="004E4024">
        <w:t xml:space="preserve"> a qualquer </w:t>
      </w:r>
      <w:r w:rsidR="00A32D99" w:rsidRPr="004E4024">
        <w:t xml:space="preserve">tempo </w:t>
      </w:r>
      <w:r w:rsidRPr="004E4024">
        <w:t>e a seu critério</w:t>
      </w:r>
      <w:r w:rsidR="00D21113" w:rsidRPr="004E4024">
        <w:t>,</w:t>
      </w:r>
      <w:r w:rsidRPr="004E4024">
        <w:t xml:space="preserve"> exigir provas adicionais de identidade e qualidade dos componentes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>, e/ou requerer novos estudos para comprovação de eficácia e segurança clínica</w:t>
      </w:r>
      <w:r w:rsidR="000D4C29" w:rsidRPr="004E4024">
        <w:t>s</w:t>
      </w:r>
      <w:r w:rsidRPr="004E4024">
        <w:t xml:space="preserve">, caso ocorram fatos que </w:t>
      </w:r>
      <w:proofErr w:type="spellStart"/>
      <w:r w:rsidRPr="004E4024">
        <w:t>dêem</w:t>
      </w:r>
      <w:proofErr w:type="spellEnd"/>
      <w:r w:rsidRPr="004E4024">
        <w:t xml:space="preserve"> ensejo a avaliações complementares, mesmo após a concessão do registro.</w:t>
      </w:r>
    </w:p>
    <w:p w:rsidR="004E4024" w:rsidRDefault="007738EB" w:rsidP="004E4024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4E4024">
        <w:rPr>
          <w:color w:val="000000"/>
        </w:rPr>
        <w:t xml:space="preserve">Art. </w:t>
      </w:r>
      <w:r w:rsidR="008D6157" w:rsidRPr="004E4024">
        <w:rPr>
          <w:color w:val="000000"/>
        </w:rPr>
        <w:t>8</w:t>
      </w:r>
      <w:r w:rsidR="009C3E10" w:rsidRPr="004E4024">
        <w:rPr>
          <w:color w:val="000000"/>
        </w:rPr>
        <w:t>º</w:t>
      </w:r>
      <w:r w:rsidRPr="004E4024">
        <w:rPr>
          <w:color w:val="000000"/>
        </w:rPr>
        <w:t xml:space="preserve"> O registro de </w:t>
      </w:r>
      <w:r w:rsidR="00CD5D36" w:rsidRPr="004E4024">
        <w:rPr>
          <w:color w:val="000000"/>
        </w:rPr>
        <w:t xml:space="preserve">Soro </w:t>
      </w:r>
      <w:proofErr w:type="spellStart"/>
      <w:r w:rsidR="00CD5D36" w:rsidRPr="004E4024">
        <w:rPr>
          <w:color w:val="000000"/>
        </w:rPr>
        <w:t>Hiperimune</w:t>
      </w:r>
      <w:proofErr w:type="spellEnd"/>
      <w:r w:rsidRPr="004E4024">
        <w:rPr>
          <w:color w:val="000000"/>
        </w:rPr>
        <w:t xml:space="preserve"> fabricado em outros países somente poderá ser concedido pela Anvisa se o produto estiver registrado e liberado para uso em seu país de fabricação. </w:t>
      </w:r>
    </w:p>
    <w:p w:rsidR="004E4024" w:rsidRDefault="007738EB" w:rsidP="004E4024">
      <w:pPr>
        <w:spacing w:after="200"/>
        <w:ind w:firstLine="567"/>
        <w:jc w:val="both"/>
      </w:pPr>
      <w:r w:rsidRPr="004E4024">
        <w:t xml:space="preserve">Parágrafo único.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Pr="004E4024">
        <w:t xml:space="preserve"> não registrados em seu país de fabricação, mas registrados em outro país por necessidade epidemiológica, poderão ser registrados na Anvisa, após avaliação da documentação apresentada, desde que comprovado o impacto epidemiológico de sua utilização no Brasil.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9º</w:t>
      </w:r>
      <w:r w:rsidRPr="004E4024">
        <w:t xml:space="preserve"> Todas as indicações terapêuticas solicitadas no registro devem estar documentalmente demonstradas nos relatórios dos estudos clínicos apensados ao dossiê de registro do produto.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§1º Os estudos clínicos devem </w:t>
      </w:r>
      <w:r w:rsidR="0090101D" w:rsidRPr="004E4024">
        <w:t xml:space="preserve">haver </w:t>
      </w:r>
      <w:r w:rsidRPr="004E4024">
        <w:t xml:space="preserve">sido conduzidos com 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 </w:t>
      </w:r>
      <w:r w:rsidR="00843D1E" w:rsidRPr="004E4024">
        <w:t>objeto da petição de</w:t>
      </w:r>
      <w:r w:rsidRPr="004E4024">
        <w:t xml:space="preserve"> registro.</w:t>
      </w:r>
    </w:p>
    <w:p w:rsidR="004E4024" w:rsidRDefault="00517C27" w:rsidP="004E4024">
      <w:pPr>
        <w:spacing w:after="200"/>
        <w:ind w:firstLine="567"/>
        <w:jc w:val="both"/>
      </w:pPr>
      <w:r w:rsidRPr="004E4024">
        <w:lastRenderedPageBreak/>
        <w:t xml:space="preserve">§2º Os estudos clínicos realizados devem </w:t>
      </w:r>
      <w:r w:rsidR="0090101D" w:rsidRPr="004E4024">
        <w:t xml:space="preserve">haver </w:t>
      </w:r>
      <w:r w:rsidRPr="004E4024">
        <w:t>sido aprovados pela autoridade sanitária do país onde se realizou a pesquisa clínica.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§3º Todos os estudos clínicos conduzidos com 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404995" w:rsidRPr="004E4024">
        <w:t xml:space="preserve"> </w:t>
      </w:r>
      <w:r w:rsidRPr="004E4024">
        <w:t xml:space="preserve">em território nacional devem </w:t>
      </w:r>
      <w:r w:rsidR="00A73C54" w:rsidRPr="004E4024">
        <w:t xml:space="preserve">atender aos procedimentos e requisitos </w:t>
      </w:r>
      <w:r w:rsidR="00A61312" w:rsidRPr="004E4024">
        <w:t xml:space="preserve">dispostos na </w:t>
      </w:r>
      <w:r w:rsidR="00A73C54" w:rsidRPr="004E4024">
        <w:t xml:space="preserve">Resolução </w:t>
      </w:r>
      <w:r w:rsidR="00996C41" w:rsidRPr="004E4024">
        <w:t xml:space="preserve">da Diretoria Colegiada - </w:t>
      </w:r>
      <w:r w:rsidR="00A73C54" w:rsidRPr="004E4024">
        <w:t xml:space="preserve">RDC nº </w:t>
      </w:r>
      <w:r w:rsidR="00186F43" w:rsidRPr="004E4024">
        <w:t>0</w:t>
      </w:r>
      <w:r w:rsidR="00A73C54" w:rsidRPr="004E4024">
        <w:t>9</w:t>
      </w:r>
      <w:r w:rsidR="00186F43" w:rsidRPr="004E4024">
        <w:t>/</w:t>
      </w:r>
      <w:r w:rsidR="00A73C54" w:rsidRPr="004E4024">
        <w:t>2015</w:t>
      </w:r>
      <w:r w:rsidR="00F14A02" w:rsidRPr="004E4024">
        <w:t xml:space="preserve"> e suas atualizações</w:t>
      </w:r>
      <w:r w:rsidRPr="004E4024">
        <w:t>.</w:t>
      </w:r>
    </w:p>
    <w:p w:rsidR="004E4024" w:rsidRDefault="00071AB7" w:rsidP="004E4024">
      <w:pPr>
        <w:spacing w:after="200"/>
        <w:ind w:firstLine="567"/>
        <w:jc w:val="both"/>
      </w:pPr>
      <w:r w:rsidRPr="004E4024">
        <w:t xml:space="preserve">Art. </w:t>
      </w:r>
      <w:r w:rsidR="001B311F" w:rsidRPr="004E4024">
        <w:t>1</w:t>
      </w:r>
      <w:r w:rsidR="008D6157" w:rsidRPr="004E4024">
        <w:t>0</w:t>
      </w:r>
      <w:r w:rsidRPr="004E4024">
        <w:t xml:space="preserve">. Os relatórios dos estudos clínicos deverão seguir o disposto no “Guia para elaboração de relatórios de estudos clínicos para fins de registro e/ou alterações pós-registro de produtos biológicos”, disponível </w:t>
      </w:r>
      <w:r w:rsidR="0090101D" w:rsidRPr="004E4024">
        <w:t>no Portal</w:t>
      </w:r>
      <w:r w:rsidRPr="004E4024">
        <w:t xml:space="preserve"> da Anvisa.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</w:t>
      </w:r>
      <w:r w:rsidR="001B311F" w:rsidRPr="004E4024">
        <w:t>1</w:t>
      </w:r>
      <w:r w:rsidR="008D6157" w:rsidRPr="004E4024">
        <w:t>1</w:t>
      </w:r>
      <w:r w:rsidRPr="004E4024">
        <w:t xml:space="preserve">. </w:t>
      </w:r>
      <w:r w:rsidR="00143845" w:rsidRPr="004E4024">
        <w:t xml:space="preserve">Caso o processo de produção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7873CE" w:rsidRPr="004E4024">
        <w:t xml:space="preserve"> </w:t>
      </w:r>
      <w:r w:rsidR="00143845" w:rsidRPr="004E4024">
        <w:t xml:space="preserve">inclua a utilização de substâncias derivadas de animais ruminantes, a empresa solicitante do registro deverá apresentar a documentação exigida na </w:t>
      </w:r>
      <w:r w:rsidR="00F37801" w:rsidRPr="004E4024">
        <w:t xml:space="preserve">Resolução </w:t>
      </w:r>
      <w:r w:rsidR="0090101D" w:rsidRPr="004E4024">
        <w:t xml:space="preserve">da Diretoria Colegiada - </w:t>
      </w:r>
      <w:r w:rsidR="00F37801" w:rsidRPr="004E4024">
        <w:t>RDC nº 68</w:t>
      </w:r>
      <w:r w:rsidR="00186F43" w:rsidRPr="004E4024">
        <w:t>/</w:t>
      </w:r>
      <w:r w:rsidR="00F37801" w:rsidRPr="004E4024">
        <w:t>20</w:t>
      </w:r>
      <w:r w:rsidR="00143845" w:rsidRPr="004E4024">
        <w:t>03 e suas atualizações, quanto ao controle de encefalopatia espongiforme transmissível.</w:t>
      </w:r>
    </w:p>
    <w:p w:rsidR="004E4024" w:rsidRDefault="00143845" w:rsidP="004E4024">
      <w:pPr>
        <w:spacing w:after="200"/>
        <w:ind w:firstLine="567"/>
        <w:jc w:val="both"/>
      </w:pPr>
      <w:r w:rsidRPr="004E4024">
        <w:t>Parágrafo único. O solicitante deverá apresentar uma declaração caso não seja utilizada nenhuma substância derivada de animal ruminante durante a fabricação do produto</w:t>
      </w:r>
      <w:r w:rsidR="00517C27" w:rsidRPr="004E4024">
        <w:t>.</w:t>
      </w:r>
    </w:p>
    <w:p w:rsidR="004E4024" w:rsidRDefault="00B053E7" w:rsidP="004E4024">
      <w:pPr>
        <w:spacing w:after="200"/>
        <w:ind w:firstLine="567"/>
        <w:jc w:val="both"/>
      </w:pPr>
      <w:r w:rsidRPr="004E4024">
        <w:t>Art. 1</w:t>
      </w:r>
      <w:r w:rsidR="008D6157" w:rsidRPr="004E4024">
        <w:t>2</w:t>
      </w:r>
      <w:r w:rsidRPr="004E4024">
        <w:t xml:space="preserve">. Todas as empresas envolvidas na fabricação de Soro </w:t>
      </w:r>
      <w:proofErr w:type="spellStart"/>
      <w:r w:rsidRPr="004E4024">
        <w:t>Hiperimune</w:t>
      </w:r>
      <w:proofErr w:type="spellEnd"/>
      <w:r w:rsidRPr="004E4024">
        <w:t xml:space="preserve">, com exceção daquelas envolvidas na coleta do plasma </w:t>
      </w:r>
      <w:proofErr w:type="spellStart"/>
      <w:r w:rsidRPr="004E4024">
        <w:t>hiperimune</w:t>
      </w:r>
      <w:proofErr w:type="spellEnd"/>
      <w:r w:rsidRPr="004E4024">
        <w:t xml:space="preserve"> e na obtenção do Material-Fonte, devem cumprir as Boas Práticas de Fabricação e apresentar o Certificado de Boas Práticas de Fabricação (CBPF) emitido pela Anvisa.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</w:t>
      </w:r>
      <w:r w:rsidR="00136364" w:rsidRPr="004E4024">
        <w:t>1</w:t>
      </w:r>
      <w:r w:rsidR="008D6157" w:rsidRPr="004E4024">
        <w:t>3</w:t>
      </w:r>
      <w:r w:rsidRPr="004E4024">
        <w:t xml:space="preserve">. Somente serão registrados aqueles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="00404995" w:rsidRPr="004E4024">
        <w:t xml:space="preserve"> </w:t>
      </w:r>
      <w:r w:rsidRPr="004E4024">
        <w:t>que tiverem o seu processo de fabricação devidamente validado.</w:t>
      </w:r>
    </w:p>
    <w:p w:rsidR="004E4024" w:rsidRDefault="00517C27" w:rsidP="004E4024">
      <w:pPr>
        <w:spacing w:after="200"/>
        <w:ind w:firstLine="567"/>
        <w:jc w:val="both"/>
      </w:pPr>
      <w:r w:rsidRPr="004E4024">
        <w:t xml:space="preserve">Art. </w:t>
      </w:r>
      <w:r w:rsidR="00136364" w:rsidRPr="004E4024">
        <w:t>1</w:t>
      </w:r>
      <w:r w:rsidR="008D6157" w:rsidRPr="004E4024">
        <w:t>4</w:t>
      </w:r>
      <w:r w:rsidRPr="004E4024">
        <w:t xml:space="preserve">. </w:t>
      </w:r>
      <w:r w:rsidR="00143845" w:rsidRPr="004E4024">
        <w:t>A empresa</w:t>
      </w:r>
      <w:r w:rsidR="0090101D" w:rsidRPr="004E4024">
        <w:t xml:space="preserve"> solicitante</w:t>
      </w:r>
      <w:r w:rsidR="00143845" w:rsidRPr="004E4024">
        <w:t xml:space="preserve">, ao protocolar a solicitação de registro, deve apresentar documentação referente à validação da cadeia de transporte, </w:t>
      </w:r>
      <w:r w:rsidR="002E7C90" w:rsidRPr="004E4024">
        <w:t xml:space="preserve">incluindo </w:t>
      </w:r>
      <w:r w:rsidR="00143845" w:rsidRPr="004E4024">
        <w:t>a qualificação de operação e de desempenho do sistema a ser utilizado para o transporte do produto</w:t>
      </w:r>
      <w:r w:rsidRPr="004E4024">
        <w:t>.</w:t>
      </w:r>
    </w:p>
    <w:p w:rsidR="004E4024" w:rsidRDefault="00340035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15</w:t>
      </w:r>
      <w:r w:rsidR="006971B3" w:rsidRPr="004E4024">
        <w:t>.</w:t>
      </w:r>
      <w:r w:rsidRPr="004E4024">
        <w:t xml:space="preserve"> </w:t>
      </w:r>
      <w:r w:rsidR="00F64ECB" w:rsidRPr="004E4024">
        <w:t xml:space="preserve">O </w:t>
      </w:r>
      <w:r w:rsidR="008243DE" w:rsidRPr="004E4024">
        <w:t>Fabricante</w:t>
      </w:r>
      <w:r w:rsidR="00F64ECB" w:rsidRPr="004E4024">
        <w:t xml:space="preserve">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F64ECB" w:rsidRPr="004E4024">
        <w:t xml:space="preserve"> deve comprovar a rastreabilidade do produto, </w:t>
      </w:r>
      <w:r w:rsidR="00B05949" w:rsidRPr="004E4024">
        <w:t xml:space="preserve">a partir do lote de </w:t>
      </w:r>
      <w:r w:rsidR="008243DE" w:rsidRPr="004E4024">
        <w:t>Material-Fonte</w:t>
      </w:r>
      <w:r w:rsidR="00F64ECB" w:rsidRPr="004E4024">
        <w:t xml:space="preserve"> até o lote do </w:t>
      </w:r>
      <w:r w:rsidR="009A290D" w:rsidRPr="004E4024">
        <w:t>Produto Terminado</w:t>
      </w:r>
      <w:r w:rsidR="005938FB" w:rsidRPr="004E4024">
        <w:t>,</w:t>
      </w:r>
      <w:r w:rsidR="00F64ECB" w:rsidRPr="004E4024">
        <w:t xml:space="preserve"> em todo o processo produtivo</w:t>
      </w:r>
      <w:r w:rsidRPr="004E4024">
        <w:t>.</w:t>
      </w:r>
    </w:p>
    <w:p w:rsidR="004E4024" w:rsidRDefault="00A937EF" w:rsidP="004E4024">
      <w:pPr>
        <w:spacing w:after="200"/>
        <w:ind w:firstLine="567"/>
        <w:jc w:val="both"/>
      </w:pPr>
      <w:r w:rsidRPr="004E4024">
        <w:t xml:space="preserve">Art. </w:t>
      </w:r>
      <w:r w:rsidR="00996C41" w:rsidRPr="004E4024">
        <w:t>1</w:t>
      </w:r>
      <w:r w:rsidR="008D6157" w:rsidRPr="004E4024">
        <w:t>6</w:t>
      </w:r>
      <w:r w:rsidRPr="004E4024">
        <w:t xml:space="preserve">. Somente serão registrados aqueles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Pr="004E4024">
        <w:t xml:space="preserve"> que </w:t>
      </w:r>
      <w:r w:rsidR="005938FB" w:rsidRPr="004E4024">
        <w:t>possuírem, em seu processo de fabricação, pelo menos um método de inativação</w:t>
      </w:r>
      <w:r w:rsidR="00FC6957" w:rsidRPr="004E4024">
        <w:t xml:space="preserve"> e</w:t>
      </w:r>
      <w:r w:rsidR="005938FB" w:rsidRPr="004E4024">
        <w:t>/</w:t>
      </w:r>
      <w:r w:rsidR="00FC6957" w:rsidRPr="004E4024">
        <w:t xml:space="preserve">ou </w:t>
      </w:r>
      <w:r w:rsidR="005938FB" w:rsidRPr="004E4024">
        <w:t>remoção viral validado</w:t>
      </w:r>
      <w:r w:rsidRPr="004E4024">
        <w:t xml:space="preserve">. </w:t>
      </w:r>
    </w:p>
    <w:p w:rsidR="004E4024" w:rsidRDefault="009E7E5F" w:rsidP="004E4024">
      <w:pPr>
        <w:spacing w:after="200"/>
        <w:ind w:firstLine="567"/>
        <w:jc w:val="both"/>
      </w:pPr>
      <w:r w:rsidRPr="004E4024">
        <w:t>Parágrafo único.</w:t>
      </w:r>
      <w:r w:rsidR="00143845" w:rsidRPr="004E4024">
        <w:t xml:space="preserve"> </w:t>
      </w:r>
      <w:r w:rsidR="00F64ECB" w:rsidRPr="004E4024">
        <w:t xml:space="preserve">A empresa </w:t>
      </w:r>
      <w:r w:rsidR="0090101D" w:rsidRPr="004E4024">
        <w:t xml:space="preserve">solicitante </w:t>
      </w:r>
      <w:r w:rsidR="00F64ECB" w:rsidRPr="004E4024">
        <w:t xml:space="preserve">deverá enviar </w:t>
      </w:r>
      <w:r w:rsidR="006066C7" w:rsidRPr="004E4024">
        <w:t>relatório de</w:t>
      </w:r>
      <w:r w:rsidR="00F64ECB" w:rsidRPr="004E4024">
        <w:t xml:space="preserve"> validação dos procedimentos de inativação</w:t>
      </w:r>
      <w:r w:rsidR="00FC6957" w:rsidRPr="004E4024">
        <w:t xml:space="preserve"> e</w:t>
      </w:r>
      <w:r w:rsidR="00D2115A" w:rsidRPr="004E4024">
        <w:t>/</w:t>
      </w:r>
      <w:r w:rsidR="00FC6957" w:rsidRPr="004E4024">
        <w:t xml:space="preserve">ou </w:t>
      </w:r>
      <w:r w:rsidR="00D2115A" w:rsidRPr="004E4024">
        <w:t>remoção</w:t>
      </w:r>
      <w:r w:rsidR="006066C7" w:rsidRPr="004E4024">
        <w:t xml:space="preserve"> viral e</w:t>
      </w:r>
      <w:r w:rsidR="00F64ECB" w:rsidRPr="004E4024">
        <w:t xml:space="preserve"> justificativa para </w:t>
      </w:r>
      <w:r w:rsidR="006066C7" w:rsidRPr="004E4024">
        <w:t>a escolha d</w:t>
      </w:r>
      <w:r w:rsidR="00F64ECB" w:rsidRPr="004E4024">
        <w:t xml:space="preserve">os vírus </w:t>
      </w:r>
      <w:r w:rsidR="006066C7" w:rsidRPr="004E4024">
        <w:t>utilizados</w:t>
      </w:r>
      <w:r w:rsidR="00F64ECB" w:rsidRPr="004E4024">
        <w:t xml:space="preserve"> </w:t>
      </w:r>
      <w:r w:rsidR="006066C7" w:rsidRPr="004E4024">
        <w:t>n</w:t>
      </w:r>
      <w:r w:rsidR="00F64ECB" w:rsidRPr="004E4024">
        <w:t>os testes</w:t>
      </w:r>
      <w:r w:rsidR="00143845" w:rsidRPr="004E4024">
        <w:t>.</w:t>
      </w:r>
    </w:p>
    <w:p w:rsidR="004E4024" w:rsidRDefault="006C6BB9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17</w:t>
      </w:r>
      <w:r w:rsidR="001B311F" w:rsidRPr="004E4024">
        <w:t>.</w:t>
      </w:r>
      <w:r w:rsidRPr="004E4024">
        <w:t xml:space="preserve"> No ato do protocolo de pedido de registro de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, a empresa solicitante deverá apresentar plano de </w:t>
      </w:r>
      <w:proofErr w:type="spellStart"/>
      <w:r w:rsidRPr="004E4024">
        <w:t>farmacovigilância</w:t>
      </w:r>
      <w:proofErr w:type="spellEnd"/>
      <w:r w:rsidRPr="004E4024">
        <w:t xml:space="preserve"> e, se necessário, plano de </w:t>
      </w:r>
      <w:r w:rsidRPr="004E4024">
        <w:lastRenderedPageBreak/>
        <w:t xml:space="preserve">minimização de risco, de acordo com a </w:t>
      </w:r>
      <w:r w:rsidR="00E92B53" w:rsidRPr="004E4024">
        <w:t xml:space="preserve">Resolução da Diretoria Colegiada - </w:t>
      </w:r>
      <w:r w:rsidR="00A9368B" w:rsidRPr="004E4024">
        <w:t xml:space="preserve">RDC nº 04/2009 e </w:t>
      </w:r>
      <w:r w:rsidR="00FD4F89" w:rsidRPr="004E4024">
        <w:t xml:space="preserve">a Instrução Normativa - </w:t>
      </w:r>
      <w:r w:rsidRPr="004E4024">
        <w:t>IN nº 14/2009</w:t>
      </w:r>
      <w:r w:rsidR="00FD4F89" w:rsidRPr="004E4024">
        <w:t xml:space="preserve">, </w:t>
      </w:r>
      <w:r w:rsidRPr="004E4024">
        <w:t>e suas atualizações.</w:t>
      </w:r>
    </w:p>
    <w:p w:rsidR="004E4024" w:rsidRDefault="006C6BB9" w:rsidP="004E4024">
      <w:pPr>
        <w:spacing w:after="200"/>
        <w:ind w:firstLine="567"/>
        <w:jc w:val="both"/>
      </w:pPr>
      <w:r w:rsidRPr="004E4024">
        <w:t xml:space="preserve">Parágrafo único. Para produtos fabricados em outros países, o último relatório periódico de </w:t>
      </w:r>
      <w:proofErr w:type="spellStart"/>
      <w:r w:rsidRPr="004E4024">
        <w:t>farmacovigilância</w:t>
      </w:r>
      <w:proofErr w:type="spellEnd"/>
      <w:r w:rsidRPr="004E4024">
        <w:t xml:space="preserve"> deverá ser apresentado</w:t>
      </w:r>
      <w:r w:rsidR="00D2115A" w:rsidRPr="004E4024">
        <w:t>, se disponível</w:t>
      </w:r>
      <w:r w:rsidRPr="004E4024">
        <w:t>.</w:t>
      </w:r>
    </w:p>
    <w:p w:rsidR="004E4024" w:rsidRDefault="005767D1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18</w:t>
      </w:r>
      <w:r w:rsidRPr="004E4024">
        <w:t xml:space="preserve">. A empresa solicitante deve apresentar documentação comprobatória de registro de hemoderivado na Anvisa, sempre que este for parte da composição do Soro </w:t>
      </w:r>
      <w:proofErr w:type="spellStart"/>
      <w:r w:rsidRPr="004E4024">
        <w:t>Hiperimune</w:t>
      </w:r>
      <w:proofErr w:type="spellEnd"/>
      <w:r w:rsidRPr="004E4024">
        <w:t xml:space="preserve"> e, caso o hemoderivado não seja registrado no País, a empresa solicitante deverá apresentar documentação, conforme disposto em Resoluções da Diretoria Colegiada vigentes que tratem do registro de hemoderivados.</w:t>
      </w:r>
    </w:p>
    <w:p w:rsidR="004E4024" w:rsidRDefault="00055DC9" w:rsidP="004E4024">
      <w:pPr>
        <w:spacing w:after="200"/>
        <w:ind w:firstLine="567"/>
        <w:jc w:val="both"/>
      </w:pPr>
      <w:r w:rsidRPr="004E4024">
        <w:t xml:space="preserve">Art. </w:t>
      </w:r>
      <w:r w:rsidR="008D6157" w:rsidRPr="004E4024">
        <w:t>19</w:t>
      </w:r>
      <w:r w:rsidR="001B311F" w:rsidRPr="004E4024">
        <w:t>.</w:t>
      </w:r>
      <w:r w:rsidRPr="004E4024">
        <w:t xml:space="preserve"> A </w:t>
      </w:r>
      <w:r w:rsidR="00DA3DA0" w:rsidRPr="004E4024">
        <w:t xml:space="preserve">não apresentação </w:t>
      </w:r>
      <w:r w:rsidRPr="004E4024">
        <w:t>de qualquer dado solicitado nesta Resolução</w:t>
      </w:r>
      <w:r w:rsidR="00D2115A" w:rsidRPr="004E4024">
        <w:t>,</w:t>
      </w:r>
      <w:r w:rsidR="00834204" w:rsidRPr="004E4024">
        <w:t xml:space="preserve"> relativ</w:t>
      </w:r>
      <w:r w:rsidR="006E5021" w:rsidRPr="004E4024">
        <w:t>o</w:t>
      </w:r>
      <w:r w:rsidRPr="004E4024">
        <w:t xml:space="preserve"> à qualidade, </w:t>
      </w:r>
      <w:r w:rsidR="00DA3DA0" w:rsidRPr="004E4024">
        <w:t xml:space="preserve">à </w:t>
      </w:r>
      <w:r w:rsidRPr="004E4024">
        <w:t xml:space="preserve">segurança e </w:t>
      </w:r>
      <w:r w:rsidR="00DA3DA0" w:rsidRPr="004E4024">
        <w:t xml:space="preserve">à </w:t>
      </w:r>
      <w:r w:rsidRPr="004E4024">
        <w:t>eficácia do produto a ser registrado</w:t>
      </w:r>
      <w:r w:rsidR="00D2115A" w:rsidRPr="004E4024">
        <w:t>,</w:t>
      </w:r>
      <w:r w:rsidRPr="004E4024">
        <w:t xml:space="preserve"> deverá ser </w:t>
      </w:r>
      <w:r w:rsidR="005F4B99" w:rsidRPr="004E4024">
        <w:t xml:space="preserve">técnica e cientificamente </w:t>
      </w:r>
      <w:r w:rsidRPr="004E4024">
        <w:t>justificada.</w:t>
      </w:r>
    </w:p>
    <w:p w:rsidR="004E4024" w:rsidRDefault="00055DC9" w:rsidP="004E4024">
      <w:pPr>
        <w:spacing w:after="200"/>
        <w:ind w:firstLine="567"/>
        <w:jc w:val="both"/>
      </w:pPr>
      <w:r w:rsidRPr="004E4024">
        <w:t xml:space="preserve">Parágrafo único. Os casos que se enquadrarem no </w:t>
      </w:r>
      <w:r w:rsidRPr="004E4024">
        <w:rPr>
          <w:i/>
        </w:rPr>
        <w:t xml:space="preserve">caput </w:t>
      </w:r>
      <w:r w:rsidRPr="004E4024">
        <w:t xml:space="preserve">deste artigo serão avaliados individualmente e à luz do </w:t>
      </w:r>
      <w:r w:rsidR="00DA3DA0" w:rsidRPr="004E4024">
        <w:t xml:space="preserve">estado da </w:t>
      </w:r>
      <w:r w:rsidR="008947C3" w:rsidRPr="004E4024">
        <w:t>arte</w:t>
      </w:r>
      <w:r w:rsidRPr="004E4024">
        <w:t>.</w:t>
      </w:r>
    </w:p>
    <w:p w:rsidR="00517C27" w:rsidRPr="004E4024" w:rsidRDefault="00517C27" w:rsidP="004E4024">
      <w:pPr>
        <w:tabs>
          <w:tab w:val="left" w:pos="0"/>
        </w:tabs>
        <w:spacing w:after="200"/>
        <w:jc w:val="center"/>
        <w:rPr>
          <w:b/>
        </w:rPr>
      </w:pPr>
      <w:r w:rsidRPr="004E4024">
        <w:rPr>
          <w:b/>
        </w:rPr>
        <w:t>CAPÍTULO III</w:t>
      </w:r>
    </w:p>
    <w:p w:rsidR="004E4024" w:rsidRDefault="00517C27" w:rsidP="004E4024">
      <w:pPr>
        <w:spacing w:after="200"/>
        <w:jc w:val="center"/>
      </w:pPr>
      <w:r w:rsidRPr="004E4024">
        <w:rPr>
          <w:b/>
        </w:rPr>
        <w:t xml:space="preserve">DO REGISTRO DE </w:t>
      </w:r>
      <w:r w:rsidR="00923A01" w:rsidRPr="004E4024">
        <w:rPr>
          <w:b/>
        </w:rPr>
        <w:t>SOROS HIPERIMUNES</w:t>
      </w:r>
    </w:p>
    <w:p w:rsidR="00517C27" w:rsidRP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Seção I</w:t>
      </w:r>
    </w:p>
    <w:p w:rsidR="004E4024" w:rsidRDefault="00FC09B9" w:rsidP="004E4024">
      <w:pPr>
        <w:spacing w:after="200"/>
        <w:jc w:val="center"/>
        <w:rPr>
          <w:b/>
        </w:rPr>
      </w:pPr>
      <w:r w:rsidRPr="004E4024">
        <w:rPr>
          <w:b/>
        </w:rPr>
        <w:t xml:space="preserve">Da </w:t>
      </w:r>
      <w:r w:rsidR="00517C27" w:rsidRPr="004E4024">
        <w:rPr>
          <w:b/>
        </w:rPr>
        <w:t>Documentação para Registro</w:t>
      </w:r>
    </w:p>
    <w:p w:rsidR="004E4024" w:rsidRDefault="009C3E10" w:rsidP="004E4024">
      <w:pPr>
        <w:spacing w:after="200"/>
        <w:ind w:firstLine="567"/>
        <w:jc w:val="both"/>
      </w:pPr>
      <w:r w:rsidRPr="004E4024">
        <w:t xml:space="preserve">Art. </w:t>
      </w:r>
      <w:r w:rsidR="00AF45F0" w:rsidRPr="004E4024">
        <w:t>2</w:t>
      </w:r>
      <w:r w:rsidR="008D6157" w:rsidRPr="004E4024">
        <w:t>0</w:t>
      </w:r>
      <w:r w:rsidR="00AF45F0" w:rsidRPr="004E4024">
        <w:t>.</w:t>
      </w:r>
      <w:r w:rsidRPr="004E4024">
        <w:t xml:space="preserve"> A empresa solicitante, ao protocolar a solicitação de registro, deve apresentar 1 (um) CD-ROM com as mesmas informações apresentadas no respectivo processo físico, gravadas em formato </w:t>
      </w:r>
      <w:proofErr w:type="spellStart"/>
      <w:r w:rsidRPr="004E4024">
        <w:t>pdf</w:t>
      </w:r>
      <w:proofErr w:type="spellEnd"/>
      <w:r w:rsidRPr="004E4024">
        <w:t xml:space="preserve"> editável (o número de série do disco deve estar explicitado na documentação).</w:t>
      </w:r>
    </w:p>
    <w:p w:rsidR="004E4024" w:rsidRDefault="009C3E10" w:rsidP="004E4024">
      <w:pPr>
        <w:spacing w:after="200"/>
        <w:ind w:firstLine="567"/>
        <w:jc w:val="both"/>
      </w:pPr>
      <w:r w:rsidRPr="004E4024">
        <w:t xml:space="preserve">Art. </w:t>
      </w:r>
      <w:r w:rsidR="004D6D2B" w:rsidRPr="004E4024">
        <w:t>2</w:t>
      </w:r>
      <w:r w:rsidR="008D6157" w:rsidRPr="004E4024">
        <w:t>1</w:t>
      </w:r>
      <w:r w:rsidR="004D6D2B" w:rsidRPr="004E4024">
        <w:t>.</w:t>
      </w:r>
      <w:r w:rsidRPr="004E4024">
        <w:t xml:space="preserve"> A documentação protocolada deve ter as páginas sequencialmente numeradas e rubricadas.</w:t>
      </w:r>
    </w:p>
    <w:p w:rsidR="004E4024" w:rsidRDefault="009C3E10" w:rsidP="004E4024">
      <w:pPr>
        <w:spacing w:after="200"/>
        <w:ind w:firstLine="567"/>
        <w:jc w:val="both"/>
      </w:pPr>
      <w:r w:rsidRPr="004E4024">
        <w:t>Parágrafo único. A sequência de páginas numeradas deve estar de acordo com o índice constante no início da documentação apresentada.</w:t>
      </w:r>
    </w:p>
    <w:p w:rsidR="004E4024" w:rsidRDefault="009C3E10" w:rsidP="004E4024">
      <w:pPr>
        <w:spacing w:after="200"/>
        <w:ind w:firstLine="567"/>
        <w:jc w:val="both"/>
      </w:pPr>
      <w:r w:rsidRPr="004E4024">
        <w:t xml:space="preserve">Art. </w:t>
      </w:r>
      <w:r w:rsidR="004D6D2B" w:rsidRPr="004E4024">
        <w:t>2</w:t>
      </w:r>
      <w:r w:rsidR="008D6157" w:rsidRPr="004E4024">
        <w:t>2</w:t>
      </w:r>
      <w:r w:rsidRPr="004E4024">
        <w:t>. Todos os documentos encaminhados à Anvisa, assim como todas as informações contidas em rótulos, bulas, cartuchos e todo material impresso, devem estar escritos em língua portuguesa, atendendo a legislação vigente.</w:t>
      </w:r>
    </w:p>
    <w:p w:rsidR="004E4024" w:rsidRDefault="009C3E10" w:rsidP="004E4024">
      <w:pPr>
        <w:spacing w:after="200"/>
        <w:ind w:firstLine="567"/>
        <w:jc w:val="both"/>
      </w:pPr>
      <w:r w:rsidRPr="004E4024">
        <w:t xml:space="preserve">Art. </w:t>
      </w:r>
      <w:r w:rsidR="004D6D2B" w:rsidRPr="004E4024">
        <w:t>2</w:t>
      </w:r>
      <w:r w:rsidR="008D6157" w:rsidRPr="004E4024">
        <w:t>3</w:t>
      </w:r>
      <w:r w:rsidRPr="004E4024">
        <w:t>. Os documentos oficiais em língua estrangeira apresentados para fins de registro devem ser acompanhados de tradução juramentada na forma da lei.</w:t>
      </w:r>
    </w:p>
    <w:p w:rsidR="004E4024" w:rsidRDefault="00B053E7" w:rsidP="004E4024">
      <w:pPr>
        <w:spacing w:after="200"/>
        <w:ind w:firstLine="567"/>
        <w:jc w:val="both"/>
      </w:pPr>
      <w:r w:rsidRPr="004E4024">
        <w:t xml:space="preserve">Art. </w:t>
      </w:r>
      <w:r w:rsidR="004D6D2B" w:rsidRPr="004E4024">
        <w:t>2</w:t>
      </w:r>
      <w:r w:rsidR="008D6157" w:rsidRPr="004E4024">
        <w:t>4</w:t>
      </w:r>
      <w:r w:rsidRPr="004E4024">
        <w:t xml:space="preserve">. A empresa solicitante, ao protocolar sua solicitação de registro, deve indicar o nome e endereço de todas as empresas envolvidas na produção do plasma </w:t>
      </w:r>
      <w:proofErr w:type="spellStart"/>
      <w:r w:rsidRPr="004E4024">
        <w:t>hiperimune</w:t>
      </w:r>
      <w:proofErr w:type="spellEnd"/>
      <w:r w:rsidRPr="004E4024">
        <w:t xml:space="preserve">, do Material-Fonte, do Princípio Ativo, </w:t>
      </w:r>
      <w:r w:rsidRPr="004E4024">
        <w:rPr>
          <w:bCs/>
        </w:rPr>
        <w:t>do intermediário,</w:t>
      </w:r>
      <w:r w:rsidRPr="004E4024">
        <w:t xml:space="preserve"> do Produto a Granel</w:t>
      </w:r>
      <w:r w:rsidRPr="004E4024">
        <w:rPr>
          <w:bCs/>
        </w:rPr>
        <w:t xml:space="preserve">, do Produto em sua Embalagem Primária, do Produto Terminado, do diluente </w:t>
      </w:r>
      <w:r w:rsidRPr="004E4024">
        <w:t>e do local de liberação do lote.</w:t>
      </w:r>
    </w:p>
    <w:p w:rsidR="004E4024" w:rsidRDefault="00517C27" w:rsidP="004E4024">
      <w:pPr>
        <w:spacing w:after="200"/>
        <w:ind w:firstLine="567"/>
        <w:jc w:val="both"/>
      </w:pPr>
      <w:r w:rsidRPr="004E4024">
        <w:lastRenderedPageBreak/>
        <w:t xml:space="preserve">Art. </w:t>
      </w:r>
      <w:r w:rsidR="008D6157" w:rsidRPr="004E4024">
        <w:t>25</w:t>
      </w:r>
      <w:r w:rsidRPr="004E4024">
        <w:t xml:space="preserve">. No ato do protocolo de pedido de registro de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, como </w:t>
      </w:r>
      <w:r w:rsidR="009A290D" w:rsidRPr="004E4024">
        <w:t>Produto Biológico Novo</w:t>
      </w:r>
      <w:r w:rsidRPr="004E4024">
        <w:t xml:space="preserve"> ou </w:t>
      </w:r>
      <w:r w:rsidR="009A290D" w:rsidRPr="004E4024">
        <w:t>Produto Biológico</w:t>
      </w:r>
      <w:r w:rsidRPr="004E4024">
        <w:t>, a empresa solicitante deverá protocolar processo único, apresentando os seguintes documentos: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 – </w:t>
      </w:r>
      <w:proofErr w:type="gramStart"/>
      <w:r w:rsidRPr="004E4024">
        <w:rPr>
          <w:bCs/>
        </w:rPr>
        <w:t>formulários</w:t>
      </w:r>
      <w:proofErr w:type="gramEnd"/>
      <w:r w:rsidRPr="004E4024">
        <w:rPr>
          <w:bCs/>
        </w:rPr>
        <w:t xml:space="preserve"> </w:t>
      </w:r>
      <w:r w:rsidRPr="004E4024">
        <w:t>de</w:t>
      </w:r>
      <w:r w:rsidRPr="004E4024">
        <w:rPr>
          <w:bCs/>
        </w:rPr>
        <w:t xml:space="preserve"> petição de registro – FP1 e FP2, devidamente preenchidos</w:t>
      </w:r>
      <w:r w:rsidR="00B21588" w:rsidRPr="004E4024">
        <w:rPr>
          <w:bCs/>
        </w:rPr>
        <w:t xml:space="preserve"> e assinados</w:t>
      </w:r>
      <w:r w:rsidRPr="004E4024">
        <w:rPr>
          <w:bCs/>
        </w:rPr>
        <w:t>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II – </w:t>
      </w:r>
      <w:proofErr w:type="gramStart"/>
      <w:r w:rsidR="00181DB6" w:rsidRPr="004E4024">
        <w:rPr>
          <w:bCs/>
        </w:rPr>
        <w:t>comprovante</w:t>
      </w:r>
      <w:proofErr w:type="gramEnd"/>
      <w:r w:rsidR="00181DB6" w:rsidRPr="004E4024">
        <w:rPr>
          <w:bCs/>
        </w:rPr>
        <w:t xml:space="preserve"> de pagamento ou de isenção da Taxa de Fiscalização de Vigilância Sanitária (TFVS), mediante Guia de Recolhimento da União (GRU)</w:t>
      </w:r>
      <w:r w:rsidRPr="004E4024">
        <w:rPr>
          <w:bCs/>
        </w:rPr>
        <w:t>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III – declaração do enquadramento </w:t>
      </w:r>
      <w:r w:rsidR="004B09B3" w:rsidRPr="004E4024">
        <w:rPr>
          <w:bCs/>
        </w:rPr>
        <w:t xml:space="preserve">do porte (capacidade econômica) </w:t>
      </w:r>
      <w:r w:rsidRPr="004E4024">
        <w:rPr>
          <w:bCs/>
        </w:rPr>
        <w:t>da empresa;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IV – </w:t>
      </w:r>
      <w:proofErr w:type="gramStart"/>
      <w:r w:rsidRPr="004E4024">
        <w:rPr>
          <w:bCs/>
        </w:rPr>
        <w:t>cópia</w:t>
      </w:r>
      <w:proofErr w:type="gramEnd"/>
      <w:r w:rsidRPr="004E4024">
        <w:rPr>
          <w:bCs/>
        </w:rPr>
        <w:t xml:space="preserve"> da Licença de Funcionamento da Empresa e/ou do Alvará Sanitário; 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V – </w:t>
      </w:r>
      <w:proofErr w:type="gramStart"/>
      <w:r w:rsidRPr="004E4024">
        <w:rPr>
          <w:bCs/>
        </w:rPr>
        <w:t>cópia</w:t>
      </w:r>
      <w:proofErr w:type="gramEnd"/>
      <w:r w:rsidRPr="004E4024">
        <w:rPr>
          <w:bCs/>
        </w:rPr>
        <w:t xml:space="preserve"> do Certificado de Autorização de Funcionamento da Empresa ou de sua publicação em Diário Oficial da União (DOU);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VI – </w:t>
      </w:r>
      <w:proofErr w:type="gramStart"/>
      <w:r w:rsidRPr="004E4024">
        <w:rPr>
          <w:bCs/>
        </w:rPr>
        <w:t>cópia</w:t>
      </w:r>
      <w:proofErr w:type="gramEnd"/>
      <w:r w:rsidRPr="004E4024">
        <w:rPr>
          <w:bCs/>
        </w:rPr>
        <w:t xml:space="preserve"> do Certificado de Responsabilidade Técnica atualizad</w:t>
      </w:r>
      <w:r w:rsidR="004B09B3" w:rsidRPr="004E4024">
        <w:rPr>
          <w:bCs/>
        </w:rPr>
        <w:t>o</w:t>
      </w:r>
      <w:r w:rsidRPr="004E4024">
        <w:rPr>
          <w:bCs/>
        </w:rPr>
        <w:t>, emitido pelo Conselho Regional de Farmácia</w:t>
      </w:r>
      <w:r w:rsidR="00FC09B9" w:rsidRPr="004E4024">
        <w:rPr>
          <w:bCs/>
        </w:rPr>
        <w:t xml:space="preserve"> (CRF)</w:t>
      </w:r>
      <w:r w:rsidRPr="004E4024">
        <w:rPr>
          <w:bCs/>
        </w:rPr>
        <w:t xml:space="preserve">, comprovando que a empresa solicitante e/ou </w:t>
      </w:r>
      <w:r w:rsidR="008243DE" w:rsidRPr="004E4024">
        <w:rPr>
          <w:bCs/>
        </w:rPr>
        <w:t>Fabricante</w:t>
      </w:r>
      <w:r w:rsidRPr="004E4024">
        <w:rPr>
          <w:bCs/>
        </w:rPr>
        <w:t xml:space="preserve"> tem assistência do farmacêutico responsável habilitado para aquele fim;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VII – justificativa </w:t>
      </w:r>
      <w:r w:rsidR="004B09B3" w:rsidRPr="004E4024">
        <w:rPr>
          <w:bCs/>
        </w:rPr>
        <w:t xml:space="preserve">técnica </w:t>
      </w:r>
      <w:r w:rsidRPr="004E4024">
        <w:rPr>
          <w:bCs/>
        </w:rPr>
        <w:t>para registro do produto, incluindo sua importância para a população brasileira e, se for o caso, a vantagem do produto frente aos demais existentes no mercado</w:t>
      </w:r>
      <w:r w:rsidR="004B09B3" w:rsidRPr="004E4024">
        <w:rPr>
          <w:bCs/>
        </w:rPr>
        <w:t>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VIII – cópia do CBPF expedido pela Anvisa para todos os </w:t>
      </w:r>
      <w:r w:rsidR="008243DE" w:rsidRPr="004E4024">
        <w:rPr>
          <w:bCs/>
        </w:rPr>
        <w:t>Fabricante</w:t>
      </w:r>
      <w:r w:rsidRPr="004E4024">
        <w:rPr>
          <w:bCs/>
        </w:rPr>
        <w:t xml:space="preserve">s </w:t>
      </w:r>
      <w:r w:rsidR="00394BB1" w:rsidRPr="004E4024">
        <w:t xml:space="preserve">do </w:t>
      </w:r>
      <w:r w:rsidR="008243DE" w:rsidRPr="004E4024">
        <w:t>Princípio Ativo</w:t>
      </w:r>
      <w:r w:rsidR="00394BB1" w:rsidRPr="004E4024">
        <w:t xml:space="preserve">, </w:t>
      </w:r>
      <w:r w:rsidR="00966B10" w:rsidRPr="004E4024">
        <w:t xml:space="preserve">do </w:t>
      </w:r>
      <w:r w:rsidR="009A290D" w:rsidRPr="004E4024">
        <w:t>Produto Intermediário</w:t>
      </w:r>
      <w:r w:rsidR="00966B10" w:rsidRPr="004E4024">
        <w:t xml:space="preserve">, </w:t>
      </w:r>
      <w:r w:rsidR="00394BB1" w:rsidRPr="004E4024">
        <w:t xml:space="preserve">do </w:t>
      </w:r>
      <w:r w:rsidR="009A290D" w:rsidRPr="004E4024">
        <w:t>Produto a Granel</w:t>
      </w:r>
      <w:r w:rsidR="00394BB1" w:rsidRPr="004E4024">
        <w:rPr>
          <w:bCs/>
        </w:rPr>
        <w:t xml:space="preserve">, do </w:t>
      </w:r>
      <w:r w:rsidR="009A290D" w:rsidRPr="004E4024">
        <w:rPr>
          <w:bCs/>
        </w:rPr>
        <w:t>Produto em sua Embalagem Primária</w:t>
      </w:r>
      <w:r w:rsidR="00394BB1" w:rsidRPr="004E4024">
        <w:rPr>
          <w:bCs/>
        </w:rPr>
        <w:t xml:space="preserve">, do </w:t>
      </w:r>
      <w:r w:rsidR="009A290D" w:rsidRPr="004E4024">
        <w:rPr>
          <w:bCs/>
        </w:rPr>
        <w:t>Produto Terminado</w:t>
      </w:r>
      <w:r w:rsidR="005F4B99" w:rsidRPr="004E4024">
        <w:rPr>
          <w:bCs/>
        </w:rPr>
        <w:t xml:space="preserve"> e</w:t>
      </w:r>
      <w:r w:rsidR="00394BB1" w:rsidRPr="004E4024">
        <w:rPr>
          <w:bCs/>
        </w:rPr>
        <w:t xml:space="preserve"> do diluente</w:t>
      </w:r>
      <w:r w:rsidRPr="004E4024">
        <w:rPr>
          <w:bCs/>
        </w:rPr>
        <w:t>;</w:t>
      </w:r>
    </w:p>
    <w:p w:rsidR="004E4024" w:rsidRDefault="009920E1" w:rsidP="004E4024">
      <w:pPr>
        <w:spacing w:after="200"/>
        <w:ind w:firstLine="567"/>
        <w:jc w:val="both"/>
      </w:pPr>
      <w:r w:rsidRPr="004E4024">
        <w:rPr>
          <w:bCs/>
        </w:rPr>
        <w:t xml:space="preserve">IX – </w:t>
      </w:r>
      <w:proofErr w:type="gramStart"/>
      <w:r w:rsidRPr="004E4024">
        <w:t>cópia</w:t>
      </w:r>
      <w:proofErr w:type="gramEnd"/>
      <w:r w:rsidRPr="004E4024">
        <w:t xml:space="preserve"> do CBPF, emitido pela autoridade sanitária competente do país onde se localiza o </w:t>
      </w:r>
      <w:r w:rsidR="008243DE" w:rsidRPr="004E4024">
        <w:t>Fabricante</w:t>
      </w:r>
      <w:r w:rsidRPr="004E4024">
        <w:t xml:space="preserve"> do </w:t>
      </w:r>
      <w:r w:rsidR="008243DE" w:rsidRPr="004E4024">
        <w:t>Princípio Ativo</w:t>
      </w:r>
      <w:r w:rsidRPr="004E4024">
        <w:t>,</w:t>
      </w:r>
      <w:r w:rsidR="00966B10" w:rsidRPr="004E4024">
        <w:t xml:space="preserve"> do </w:t>
      </w:r>
      <w:r w:rsidR="009A290D" w:rsidRPr="004E4024">
        <w:t>Produto Intermediário</w:t>
      </w:r>
      <w:r w:rsidR="00966B10" w:rsidRPr="004E4024">
        <w:t>,</w:t>
      </w:r>
      <w:r w:rsidRPr="004E4024">
        <w:t xml:space="preserve"> do </w:t>
      </w:r>
      <w:r w:rsidR="009A290D" w:rsidRPr="004E4024">
        <w:t>Produto a Granel</w:t>
      </w:r>
      <w:r w:rsidRPr="004E4024">
        <w:t xml:space="preserve">, do </w:t>
      </w:r>
      <w:r w:rsidR="009A290D" w:rsidRPr="004E4024">
        <w:t>Produto em sua Embalagem Primária</w:t>
      </w:r>
      <w:r w:rsidRPr="004E4024">
        <w:t xml:space="preserve">, do </w:t>
      </w:r>
      <w:r w:rsidR="009A290D" w:rsidRPr="004E4024">
        <w:t>Produto Terminado</w:t>
      </w:r>
      <w:r w:rsidR="005F4B99" w:rsidRPr="004E4024">
        <w:t xml:space="preserve"> e</w:t>
      </w:r>
      <w:r w:rsidRPr="004E4024">
        <w:t xml:space="preserve"> do diluente;</w:t>
      </w:r>
    </w:p>
    <w:p w:rsidR="004E4024" w:rsidRDefault="00C36BD8" w:rsidP="004E4024">
      <w:pPr>
        <w:spacing w:after="200"/>
        <w:ind w:firstLine="567"/>
        <w:jc w:val="both"/>
      </w:pPr>
      <w:r w:rsidRPr="004E4024">
        <w:rPr>
          <w:bCs/>
        </w:rPr>
        <w:t xml:space="preserve">X – </w:t>
      </w:r>
      <w:proofErr w:type="gramStart"/>
      <w:r w:rsidRPr="004E4024">
        <w:t>histórico</w:t>
      </w:r>
      <w:proofErr w:type="gramEnd"/>
      <w:r w:rsidRPr="004E4024">
        <w:t xml:space="preserve"> </w:t>
      </w:r>
      <w:r w:rsidRPr="004E4024">
        <w:rPr>
          <w:bCs/>
        </w:rPr>
        <w:t>da</w:t>
      </w:r>
      <w:r w:rsidRPr="004E4024">
        <w:t xml:space="preserve"> situação de registro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 em outros países, quando </w:t>
      </w:r>
      <w:r w:rsidR="00A32D99" w:rsidRPr="004E4024">
        <w:t>aplicável</w:t>
      </w:r>
      <w:r w:rsidRPr="004E4024">
        <w:t>;</w:t>
      </w:r>
    </w:p>
    <w:p w:rsidR="004E4024" w:rsidRDefault="00A803A5" w:rsidP="004E4024">
      <w:pPr>
        <w:spacing w:after="200"/>
        <w:ind w:firstLine="567"/>
        <w:jc w:val="both"/>
      </w:pPr>
      <w:r w:rsidRPr="004E4024">
        <w:t>X</w:t>
      </w:r>
      <w:r w:rsidR="008C4B6B" w:rsidRPr="004E4024">
        <w:t>I</w:t>
      </w:r>
      <w:r w:rsidRPr="004E4024">
        <w:t xml:space="preserve"> – cópia do comprovante de registro no país de origem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 xml:space="preserve">, emitido pela respectiva </w:t>
      </w:r>
      <w:r w:rsidR="00A32D99" w:rsidRPr="004E4024">
        <w:t xml:space="preserve">autoridade sanitária </w:t>
      </w:r>
      <w:r w:rsidRPr="004E4024">
        <w:t>competente</w:t>
      </w:r>
      <w:r w:rsidR="00966B10" w:rsidRPr="004E4024">
        <w:t>, quando for o caso</w:t>
      </w:r>
      <w:r w:rsidRPr="004E4024">
        <w:t xml:space="preserve">; </w:t>
      </w:r>
    </w:p>
    <w:p w:rsidR="004E4024" w:rsidRDefault="002B00CF" w:rsidP="004E4024">
      <w:pPr>
        <w:spacing w:after="200"/>
        <w:ind w:firstLine="567"/>
        <w:jc w:val="both"/>
      </w:pPr>
      <w:r w:rsidRPr="004E4024">
        <w:t>XI</w:t>
      </w:r>
      <w:r w:rsidR="008C4B6B" w:rsidRPr="004E4024">
        <w:t>I</w:t>
      </w:r>
      <w:r w:rsidRPr="004E4024">
        <w:t xml:space="preserve"> – cópia do modelo de bula aprovada pela autoridade sanitária competente do país de origem, acompanhada de tradução juramentada;</w:t>
      </w:r>
    </w:p>
    <w:p w:rsidR="004E4024" w:rsidRDefault="00F7079F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</w:t>
      </w:r>
      <w:r w:rsidR="002B00CF" w:rsidRPr="004E4024">
        <w:rPr>
          <w:bCs/>
        </w:rPr>
        <w:t>II</w:t>
      </w:r>
      <w:r w:rsidR="008C4B6B" w:rsidRPr="004E4024">
        <w:rPr>
          <w:bCs/>
        </w:rPr>
        <w:t>I</w:t>
      </w:r>
      <w:r w:rsidR="00517C27" w:rsidRPr="004E4024">
        <w:rPr>
          <w:bCs/>
        </w:rPr>
        <w:t xml:space="preserve"> – </w:t>
      </w:r>
      <w:r w:rsidR="008C4B6B" w:rsidRPr="004E4024">
        <w:rPr>
          <w:bCs/>
        </w:rPr>
        <w:t xml:space="preserve">modelos de bula e embalagens primária e secundária, de acordo com </w:t>
      </w:r>
      <w:r w:rsidR="004806F6" w:rsidRPr="004E4024">
        <w:rPr>
          <w:bCs/>
        </w:rPr>
        <w:t>Resoluções específicas vigentes que abordam o tema</w:t>
      </w:r>
      <w:r w:rsidR="008C4B6B" w:rsidRPr="004E4024">
        <w:rPr>
          <w:bCs/>
        </w:rPr>
        <w:t>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XI</w:t>
      </w:r>
      <w:r w:rsidR="002B00CF" w:rsidRPr="004E4024">
        <w:rPr>
          <w:bCs/>
        </w:rPr>
        <w:t>V</w:t>
      </w:r>
      <w:r w:rsidRPr="004E4024">
        <w:rPr>
          <w:bCs/>
        </w:rPr>
        <w:t xml:space="preserve"> – dados de </w:t>
      </w:r>
      <w:proofErr w:type="spellStart"/>
      <w:r w:rsidRPr="004E4024">
        <w:rPr>
          <w:bCs/>
        </w:rPr>
        <w:t>farmacovigilância</w:t>
      </w:r>
      <w:proofErr w:type="spellEnd"/>
      <w:r w:rsidRPr="004E4024">
        <w:rPr>
          <w:bCs/>
        </w:rPr>
        <w:t xml:space="preserve"> atualizados, de acordo com a legislação sanitária vigente, obtidos de estudos clínicos e da comercialização do produto, quando aplicável;</w:t>
      </w:r>
    </w:p>
    <w:p w:rsidR="004E4024" w:rsidRDefault="00517C27" w:rsidP="004E4024">
      <w:pPr>
        <w:spacing w:after="200"/>
        <w:ind w:firstLine="567"/>
        <w:jc w:val="both"/>
      </w:pPr>
      <w:r w:rsidRPr="004E4024">
        <w:rPr>
          <w:bCs/>
        </w:rPr>
        <w:lastRenderedPageBreak/>
        <w:t>X</w:t>
      </w:r>
      <w:r w:rsidR="005F4B99" w:rsidRPr="004E4024">
        <w:rPr>
          <w:bCs/>
        </w:rPr>
        <w:t>V</w:t>
      </w:r>
      <w:r w:rsidRPr="004E4024">
        <w:rPr>
          <w:bCs/>
        </w:rPr>
        <w:t xml:space="preserve"> – código de barras (GTIN), para </w:t>
      </w:r>
      <w:proofErr w:type="gramStart"/>
      <w:r w:rsidRPr="004E4024">
        <w:rPr>
          <w:bCs/>
        </w:rPr>
        <w:t>toda(</w:t>
      </w:r>
      <w:proofErr w:type="gramEnd"/>
      <w:r w:rsidRPr="004E4024">
        <w:rPr>
          <w:bCs/>
        </w:rPr>
        <w:t>s) a(s) apresentação(</w:t>
      </w:r>
      <w:proofErr w:type="spellStart"/>
      <w:r w:rsidRPr="004E4024">
        <w:rPr>
          <w:bCs/>
        </w:rPr>
        <w:t>ões</w:t>
      </w:r>
      <w:proofErr w:type="spellEnd"/>
      <w:r w:rsidRPr="004E4024">
        <w:rPr>
          <w:bCs/>
        </w:rPr>
        <w:t>)</w:t>
      </w:r>
      <w:r w:rsidR="005F4B99" w:rsidRPr="004E4024">
        <w:rPr>
          <w:bCs/>
        </w:rPr>
        <w:t xml:space="preserve"> </w:t>
      </w:r>
      <w:r w:rsidR="005F4B99" w:rsidRPr="004E4024">
        <w:t>e</w:t>
      </w:r>
      <w:r w:rsidR="002B00CF" w:rsidRPr="004E4024">
        <w:t xml:space="preserve"> mecanismos de identificação e segurança que possibilitem o rastreamento do produto</w:t>
      </w:r>
      <w:r w:rsidR="00A32D99" w:rsidRPr="004E4024">
        <w:t>,</w:t>
      </w:r>
      <w:r w:rsidR="002B00CF" w:rsidRPr="004E4024">
        <w:t xml:space="preserve"> de acordo com </w:t>
      </w:r>
      <w:r w:rsidR="00A9368B" w:rsidRPr="004E4024">
        <w:t xml:space="preserve">a </w:t>
      </w:r>
      <w:r w:rsidR="00A32D99" w:rsidRPr="004E4024">
        <w:t xml:space="preserve">Resolução da Diretoria Colegiada - </w:t>
      </w:r>
      <w:r w:rsidR="00A9368B" w:rsidRPr="004E4024">
        <w:t>RDC nº 54/2013 e suas atualizações</w:t>
      </w:r>
      <w:r w:rsidR="002B00CF" w:rsidRPr="004E4024">
        <w:t>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</w:t>
      </w:r>
      <w:r w:rsidR="005F4B99" w:rsidRPr="004E4024">
        <w:rPr>
          <w:bCs/>
        </w:rPr>
        <w:t>V</w:t>
      </w:r>
      <w:r w:rsidR="00F7079F" w:rsidRPr="004E4024">
        <w:rPr>
          <w:bCs/>
        </w:rPr>
        <w:t>I</w:t>
      </w:r>
      <w:r w:rsidRPr="004E4024">
        <w:rPr>
          <w:bCs/>
        </w:rPr>
        <w:t xml:space="preserve"> – cópia </w:t>
      </w:r>
      <w:r w:rsidR="002B00CF" w:rsidRPr="004E4024">
        <w:rPr>
          <w:bCs/>
        </w:rPr>
        <w:t xml:space="preserve">do compêndio </w:t>
      </w:r>
      <w:r w:rsidRPr="004E4024">
        <w:rPr>
          <w:bCs/>
        </w:rPr>
        <w:t>nacional</w:t>
      </w:r>
      <w:r w:rsidR="00F40D69" w:rsidRPr="004E4024">
        <w:rPr>
          <w:bCs/>
        </w:rPr>
        <w:t xml:space="preserve"> ou </w:t>
      </w:r>
      <w:r w:rsidRPr="004E4024">
        <w:rPr>
          <w:bCs/>
        </w:rPr>
        <w:t>internacional</w:t>
      </w:r>
      <w:r w:rsidR="00A32D99" w:rsidRPr="004E4024">
        <w:rPr>
          <w:bCs/>
        </w:rPr>
        <w:t>,</w:t>
      </w:r>
      <w:r w:rsidRPr="004E4024">
        <w:rPr>
          <w:bCs/>
        </w:rPr>
        <w:t xml:space="preserve"> ou </w:t>
      </w:r>
      <w:r w:rsidR="00A32D99" w:rsidRPr="004E4024">
        <w:rPr>
          <w:bCs/>
        </w:rPr>
        <w:t xml:space="preserve">da </w:t>
      </w:r>
      <w:r w:rsidR="00F40D69" w:rsidRPr="004E4024">
        <w:rPr>
          <w:bCs/>
        </w:rPr>
        <w:t xml:space="preserve">metodologia </w:t>
      </w:r>
      <w:r w:rsidRPr="004E4024">
        <w:rPr>
          <w:bCs/>
        </w:rPr>
        <w:t>intern</w:t>
      </w:r>
      <w:r w:rsidR="00F40D69" w:rsidRPr="004E4024">
        <w:rPr>
          <w:bCs/>
        </w:rPr>
        <w:t>a validada</w:t>
      </w:r>
      <w:r w:rsidRPr="004E4024">
        <w:rPr>
          <w:bCs/>
        </w:rPr>
        <w:t xml:space="preserve"> </w:t>
      </w:r>
      <w:r w:rsidR="00A32D99" w:rsidRPr="004E4024">
        <w:rPr>
          <w:bCs/>
        </w:rPr>
        <w:t>pel</w:t>
      </w:r>
      <w:r w:rsidR="0090101D" w:rsidRPr="004E4024">
        <w:rPr>
          <w:bCs/>
        </w:rPr>
        <w:t xml:space="preserve">o </w:t>
      </w:r>
      <w:proofErr w:type="spellStart"/>
      <w:r w:rsidR="0090101D" w:rsidRPr="004E4024">
        <w:rPr>
          <w:bCs/>
        </w:rPr>
        <w:t>Fabrincante</w:t>
      </w:r>
      <w:proofErr w:type="spellEnd"/>
      <w:r w:rsidR="00A32D99" w:rsidRPr="004E4024">
        <w:rPr>
          <w:bCs/>
        </w:rPr>
        <w:t>,</w:t>
      </w:r>
      <w:r w:rsidRPr="004E4024">
        <w:rPr>
          <w:bCs/>
        </w:rPr>
        <w:t xml:space="preserve"> com a determinação das especificações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="002F308F" w:rsidRPr="004E4024">
        <w:t xml:space="preserve"> </w:t>
      </w:r>
      <w:r w:rsidRPr="004E4024">
        <w:rPr>
          <w:bCs/>
        </w:rPr>
        <w:t xml:space="preserve">terminado; 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XV</w:t>
      </w:r>
      <w:r w:rsidR="005F4B99" w:rsidRPr="004E4024">
        <w:rPr>
          <w:bCs/>
        </w:rPr>
        <w:t>I</w:t>
      </w:r>
      <w:r w:rsidRPr="004E4024">
        <w:rPr>
          <w:bCs/>
        </w:rPr>
        <w:t xml:space="preserve">I – informações adicionais de acordo com </w:t>
      </w:r>
      <w:r w:rsidR="00383FDA" w:rsidRPr="004E4024">
        <w:rPr>
          <w:bCs/>
        </w:rPr>
        <w:t xml:space="preserve">Resoluções </w:t>
      </w:r>
      <w:r w:rsidR="00A32D99" w:rsidRPr="004E4024">
        <w:t xml:space="preserve">da Diretoria Colegiada </w:t>
      </w:r>
      <w:r w:rsidR="00383FDA" w:rsidRPr="004E4024">
        <w:rPr>
          <w:bCs/>
        </w:rPr>
        <w:t xml:space="preserve">vigentes que </w:t>
      </w:r>
      <w:r w:rsidR="00A32D99" w:rsidRPr="004E4024">
        <w:rPr>
          <w:bCs/>
        </w:rPr>
        <w:t xml:space="preserve">abordem </w:t>
      </w:r>
      <w:r w:rsidR="00383FDA" w:rsidRPr="004E4024">
        <w:rPr>
          <w:bCs/>
        </w:rPr>
        <w:t xml:space="preserve">o </w:t>
      </w:r>
      <w:r w:rsidRPr="004E4024">
        <w:rPr>
          <w:bCs/>
        </w:rPr>
        <w:t>controle de encefalopatia espongiforme transmissível, quando aplicável;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XV</w:t>
      </w:r>
      <w:r w:rsidR="005F4B99" w:rsidRPr="004E4024">
        <w:rPr>
          <w:bCs/>
        </w:rPr>
        <w:t>III</w:t>
      </w:r>
      <w:r w:rsidRPr="004E4024">
        <w:rPr>
          <w:bCs/>
        </w:rPr>
        <w:t xml:space="preserve"> </w:t>
      </w:r>
      <w:r w:rsidR="00C33F1C" w:rsidRPr="004E4024">
        <w:rPr>
          <w:bCs/>
        </w:rPr>
        <w:t xml:space="preserve">– </w:t>
      </w:r>
      <w:r w:rsidR="008C4B6B" w:rsidRPr="004E4024">
        <w:rPr>
          <w:bCs/>
        </w:rPr>
        <w:t>relatório técnico do produto;</w:t>
      </w:r>
    </w:p>
    <w:p w:rsidR="004E4024" w:rsidRDefault="008539B5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XIX – </w:t>
      </w:r>
      <w:r w:rsidR="008C4B6B" w:rsidRPr="004E4024">
        <w:rPr>
          <w:bCs/>
        </w:rPr>
        <w:t>relatório de experimentação terapêutica; e</w:t>
      </w:r>
    </w:p>
    <w:p w:rsidR="004E4024" w:rsidRDefault="008C4B6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XX – </w:t>
      </w:r>
      <w:proofErr w:type="gramStart"/>
      <w:r w:rsidR="008539B5" w:rsidRPr="004E4024">
        <w:rPr>
          <w:bCs/>
        </w:rPr>
        <w:t>relatório</w:t>
      </w:r>
      <w:proofErr w:type="gramEnd"/>
      <w:r w:rsidR="008539B5" w:rsidRPr="004E4024">
        <w:rPr>
          <w:bCs/>
        </w:rPr>
        <w:t xml:space="preserve"> de </w:t>
      </w:r>
      <w:proofErr w:type="spellStart"/>
      <w:r w:rsidR="008539B5" w:rsidRPr="004E4024">
        <w:rPr>
          <w:bCs/>
        </w:rPr>
        <w:t>farmacovigilância</w:t>
      </w:r>
      <w:proofErr w:type="spellEnd"/>
      <w:r w:rsidR="008539B5" w:rsidRPr="004E4024">
        <w:rPr>
          <w:bCs/>
        </w:rPr>
        <w:t>.</w:t>
      </w:r>
    </w:p>
    <w:p w:rsidR="00517C27" w:rsidRPr="004E4024" w:rsidRDefault="00517C27" w:rsidP="004E4024">
      <w:pPr>
        <w:spacing w:after="200"/>
        <w:jc w:val="center"/>
        <w:rPr>
          <w:b/>
        </w:rPr>
      </w:pPr>
      <w:r w:rsidRPr="004E4024">
        <w:rPr>
          <w:b/>
        </w:rPr>
        <w:t>Seção II</w:t>
      </w:r>
    </w:p>
    <w:p w:rsidR="004E4024" w:rsidRDefault="00A32D99" w:rsidP="004E4024">
      <w:pPr>
        <w:spacing w:after="200"/>
        <w:jc w:val="center"/>
      </w:pPr>
      <w:r w:rsidRPr="004E4024">
        <w:rPr>
          <w:b/>
        </w:rPr>
        <w:t xml:space="preserve">Do </w:t>
      </w:r>
      <w:r w:rsidR="00517C27" w:rsidRPr="004E4024">
        <w:rPr>
          <w:b/>
        </w:rPr>
        <w:t xml:space="preserve">Relatório Técnico 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Art. </w:t>
      </w:r>
      <w:r w:rsidR="008D6157" w:rsidRPr="004E4024">
        <w:rPr>
          <w:bCs/>
        </w:rPr>
        <w:t>26</w:t>
      </w:r>
      <w:r w:rsidRPr="004E4024">
        <w:rPr>
          <w:bCs/>
        </w:rPr>
        <w:t xml:space="preserve">. </w:t>
      </w:r>
      <w:bookmarkStart w:id="2" w:name="OLE_LINK3"/>
      <w:bookmarkStart w:id="3" w:name="OLE_LINK4"/>
      <w:r w:rsidRPr="004E4024">
        <w:rPr>
          <w:bCs/>
        </w:rPr>
        <w:t xml:space="preserve">No ato do protocolo de pedido de registro de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rPr>
          <w:bCs/>
        </w:rPr>
        <w:t xml:space="preserve">, a empresa solicitante deverá apresentar relatório técnico contendo as seguintes </w:t>
      </w:r>
      <w:r w:rsidR="00652CE5" w:rsidRPr="004E4024">
        <w:rPr>
          <w:bCs/>
        </w:rPr>
        <w:t>partes</w:t>
      </w:r>
      <w:r w:rsidRPr="004E4024">
        <w:rPr>
          <w:bCs/>
        </w:rPr>
        <w:t>:</w:t>
      </w:r>
      <w:bookmarkEnd w:id="2"/>
      <w:bookmarkEnd w:id="3"/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I – Informações sobre as empresas envolvidas na fabricação do produto: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a) nome, endereço e responsabilidade de cada fornecedor de </w:t>
      </w:r>
      <w:r w:rsidR="008243DE" w:rsidRPr="004E4024">
        <w:rPr>
          <w:bCs/>
        </w:rPr>
        <w:t>Material-Fonte</w:t>
      </w:r>
      <w:r w:rsidR="00704A77" w:rsidRPr="004E4024">
        <w:rPr>
          <w:bCs/>
        </w:rPr>
        <w:t>;</w:t>
      </w:r>
    </w:p>
    <w:p w:rsidR="004E4024" w:rsidRDefault="00704A7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b)</w:t>
      </w:r>
      <w:r w:rsidRPr="004E4024">
        <w:t xml:space="preserve"> </w:t>
      </w:r>
      <w:r w:rsidRPr="004E4024">
        <w:rPr>
          <w:bCs/>
        </w:rPr>
        <w:t>nome, endereço e responsabilidade</w:t>
      </w:r>
      <w:r w:rsidR="005F0532" w:rsidRPr="004E4024">
        <w:rPr>
          <w:bCs/>
        </w:rPr>
        <w:t xml:space="preserve"> de todos os </w:t>
      </w:r>
      <w:r w:rsidR="008243DE" w:rsidRPr="004E4024">
        <w:rPr>
          <w:bCs/>
        </w:rPr>
        <w:t>Fabricante</w:t>
      </w:r>
      <w:r w:rsidR="005F0532" w:rsidRPr="004E4024">
        <w:rPr>
          <w:bCs/>
        </w:rPr>
        <w:t>s</w:t>
      </w:r>
      <w:r w:rsidR="00C36409" w:rsidRPr="004E4024">
        <w:rPr>
          <w:bCs/>
        </w:rPr>
        <w:t xml:space="preserve"> do </w:t>
      </w:r>
      <w:r w:rsidR="008243DE" w:rsidRPr="004E4024">
        <w:rPr>
          <w:bCs/>
        </w:rPr>
        <w:t>Princípio Ativo</w:t>
      </w:r>
      <w:r w:rsidR="00C36409" w:rsidRPr="004E4024">
        <w:rPr>
          <w:bCs/>
        </w:rPr>
        <w:t xml:space="preserve">, </w:t>
      </w:r>
      <w:r w:rsidR="00517C27" w:rsidRPr="004E4024">
        <w:rPr>
          <w:bCs/>
        </w:rPr>
        <w:t xml:space="preserve">do </w:t>
      </w:r>
      <w:r w:rsidR="009A290D" w:rsidRPr="004E4024">
        <w:rPr>
          <w:bCs/>
        </w:rPr>
        <w:t>Produto a Granel</w:t>
      </w:r>
      <w:r w:rsidR="00517C27" w:rsidRPr="004E4024">
        <w:rPr>
          <w:bCs/>
        </w:rPr>
        <w:t>,</w:t>
      </w:r>
      <w:r w:rsidR="00F64ECB" w:rsidRPr="004E4024">
        <w:rPr>
          <w:bCs/>
        </w:rPr>
        <w:t xml:space="preserve"> do </w:t>
      </w:r>
      <w:r w:rsidR="009A290D" w:rsidRPr="004E4024">
        <w:rPr>
          <w:bCs/>
        </w:rPr>
        <w:t>Produto Intermediário</w:t>
      </w:r>
      <w:r w:rsidR="00F64ECB" w:rsidRPr="004E4024">
        <w:rPr>
          <w:bCs/>
        </w:rPr>
        <w:t xml:space="preserve">, </w:t>
      </w:r>
      <w:r w:rsidR="00517C27" w:rsidRPr="004E4024">
        <w:rPr>
          <w:bCs/>
        </w:rPr>
        <w:t xml:space="preserve">do </w:t>
      </w:r>
      <w:r w:rsidR="009A290D" w:rsidRPr="004E4024">
        <w:rPr>
          <w:bCs/>
        </w:rPr>
        <w:t>Produto em sua Embalagem Primária</w:t>
      </w:r>
      <w:r w:rsidR="00517C27" w:rsidRPr="004E4024">
        <w:rPr>
          <w:bCs/>
        </w:rPr>
        <w:t xml:space="preserve">, do </w:t>
      </w:r>
      <w:r w:rsidR="009A290D" w:rsidRPr="004E4024">
        <w:rPr>
          <w:bCs/>
        </w:rPr>
        <w:t>Produto Terminado</w:t>
      </w:r>
      <w:r w:rsidR="00652CE5" w:rsidRPr="004E4024">
        <w:rPr>
          <w:bCs/>
        </w:rPr>
        <w:t>, do diluente</w:t>
      </w:r>
      <w:r w:rsidR="007C787D" w:rsidRPr="004E4024">
        <w:rPr>
          <w:bCs/>
        </w:rPr>
        <w:t xml:space="preserve">; </w:t>
      </w:r>
    </w:p>
    <w:p w:rsidR="004E4024" w:rsidRDefault="00036F4C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c)</w:t>
      </w:r>
      <w:r w:rsidRPr="004E4024">
        <w:t xml:space="preserve"> </w:t>
      </w:r>
      <w:r w:rsidRPr="004E4024">
        <w:rPr>
          <w:bCs/>
        </w:rPr>
        <w:t>nome, endereço e responsabilidade</w:t>
      </w:r>
      <w:r w:rsidR="00652CE5" w:rsidRPr="004E4024">
        <w:rPr>
          <w:bCs/>
        </w:rPr>
        <w:t xml:space="preserve"> </w:t>
      </w:r>
      <w:r w:rsidR="00517C27" w:rsidRPr="004E4024">
        <w:rPr>
          <w:bCs/>
        </w:rPr>
        <w:t>do emissor do certificado de liberação dos lotes</w:t>
      </w:r>
      <w:r w:rsidR="005F0532" w:rsidRPr="004E4024">
        <w:rPr>
          <w:bCs/>
        </w:rPr>
        <w:t xml:space="preserve"> do </w:t>
      </w:r>
      <w:r w:rsidR="009A290D" w:rsidRPr="004E4024">
        <w:rPr>
          <w:bCs/>
        </w:rPr>
        <w:t>Produto Terminado</w:t>
      </w:r>
      <w:r w:rsidR="00517C27" w:rsidRPr="004E4024">
        <w:rPr>
          <w:bCs/>
        </w:rPr>
        <w:t>, para cada local de fabricação proposto ou instalações envolvidas na fabricação e</w:t>
      </w:r>
      <w:r w:rsidR="005F0532" w:rsidRPr="004E4024">
        <w:rPr>
          <w:bCs/>
        </w:rPr>
        <w:t>/ou</w:t>
      </w:r>
      <w:r w:rsidR="00517C27" w:rsidRPr="004E4024">
        <w:rPr>
          <w:bCs/>
        </w:rPr>
        <w:t xml:space="preserve"> análise do </w:t>
      </w:r>
      <w:r w:rsidR="00CD5D36" w:rsidRPr="004E4024">
        <w:t xml:space="preserve">Soro </w:t>
      </w:r>
      <w:proofErr w:type="spellStart"/>
      <w:proofErr w:type="gramStart"/>
      <w:r w:rsidR="00CD5D36" w:rsidRPr="004E4024">
        <w:t>Hiperimune</w:t>
      </w:r>
      <w:r w:rsidR="00A852D4" w:rsidRPr="004E4024">
        <w:t>;</w:t>
      </w:r>
      <w:r w:rsidR="00A852D4" w:rsidRPr="004E4024">
        <w:rPr>
          <w:bCs/>
        </w:rPr>
        <w:t>e</w:t>
      </w:r>
      <w:proofErr w:type="spellEnd"/>
      <w:proofErr w:type="gramEnd"/>
    </w:p>
    <w:p w:rsidR="004E4024" w:rsidRDefault="00A852D4" w:rsidP="004E4024">
      <w:pPr>
        <w:tabs>
          <w:tab w:val="left" w:pos="3969"/>
        </w:tabs>
        <w:spacing w:after="200"/>
        <w:ind w:firstLine="567"/>
        <w:jc w:val="both"/>
      </w:pPr>
      <w:r w:rsidRPr="004E4024">
        <w:rPr>
          <w:bCs/>
        </w:rPr>
        <w:t>d) n</w:t>
      </w:r>
      <w:r w:rsidRPr="004E4024">
        <w:t>a existência de mais de um local de fabricação para o Material-Fonte, Princípio Ativo, Produto Intermediário, Produto a Granel, Produto Terminado, diluente e adjuvante, deve ser enviado um relatório comparativo do processo de fabricação e dos produtos fabricados entre os diversos locais, comprovando a manutenção das características do produto.</w:t>
      </w:r>
    </w:p>
    <w:p w:rsidR="004E4024" w:rsidRDefault="009E7E5F" w:rsidP="004E4024">
      <w:pPr>
        <w:spacing w:after="200"/>
        <w:ind w:firstLine="567"/>
        <w:jc w:val="both"/>
      </w:pPr>
      <w:r w:rsidRPr="004E4024">
        <w:t>Parágrafo único.</w:t>
      </w:r>
      <w:r w:rsidR="00A852D4" w:rsidRPr="004E4024">
        <w:t xml:space="preserve"> O relatório comparativo deve conter</w:t>
      </w:r>
      <w:r w:rsidR="008D6157" w:rsidRPr="004E4024">
        <w:t>,</w:t>
      </w:r>
      <w:r w:rsidR="00A852D4" w:rsidRPr="004E4024">
        <w:t xml:space="preserve"> ainda</w:t>
      </w:r>
      <w:r w:rsidR="008D6157" w:rsidRPr="004E4024">
        <w:t>,</w:t>
      </w:r>
      <w:r w:rsidR="00A852D4" w:rsidRPr="004E4024">
        <w:t xml:space="preserve"> os seguintes documentos: </w:t>
      </w:r>
    </w:p>
    <w:p w:rsidR="004E4024" w:rsidRDefault="00A852D4" w:rsidP="004E4024">
      <w:pPr>
        <w:spacing w:after="200"/>
        <w:ind w:firstLine="567"/>
        <w:jc w:val="both"/>
      </w:pPr>
      <w:r w:rsidRPr="004E4024">
        <w:t xml:space="preserve">I - </w:t>
      </w:r>
      <w:proofErr w:type="gramStart"/>
      <w:r w:rsidRPr="004E4024">
        <w:t>descrição e avaliação</w:t>
      </w:r>
      <w:proofErr w:type="gramEnd"/>
      <w:r w:rsidRPr="004E4024">
        <w:t xml:space="preserve"> das diferenças no processo produtivo entre os locais alternativos de fabricação; </w:t>
      </w:r>
    </w:p>
    <w:p w:rsidR="004E4024" w:rsidRDefault="00A852D4" w:rsidP="004E4024">
      <w:pPr>
        <w:spacing w:after="200"/>
        <w:ind w:firstLine="567"/>
        <w:jc w:val="both"/>
      </w:pPr>
      <w:r w:rsidRPr="004E4024">
        <w:lastRenderedPageBreak/>
        <w:t xml:space="preserve">II - </w:t>
      </w:r>
      <w:proofErr w:type="gramStart"/>
      <w:r w:rsidRPr="004E4024">
        <w:t>estudo</w:t>
      </w:r>
      <w:proofErr w:type="gramEnd"/>
      <w:r w:rsidRPr="004E4024">
        <w:t xml:space="preserve"> de comparabilidade que comprove a manutenção das características físico-químicas e biológicas e dos parâmetros de segurança e eficácia do produto; e </w:t>
      </w:r>
    </w:p>
    <w:p w:rsidR="004E4024" w:rsidRDefault="00A852D4" w:rsidP="004E4024">
      <w:pPr>
        <w:spacing w:after="200"/>
        <w:ind w:firstLine="567"/>
        <w:jc w:val="both"/>
        <w:rPr>
          <w:bCs/>
        </w:rPr>
      </w:pPr>
      <w:r w:rsidRPr="004E4024">
        <w:t>III - estudo de estabilidade de acordo com a legislação sanitária vigente, para cada local alternativo de fabricação.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II – </w:t>
      </w:r>
      <w:r w:rsidR="00652CE5" w:rsidRPr="004E4024">
        <w:rPr>
          <w:bCs/>
        </w:rPr>
        <w:t>D</w:t>
      </w:r>
      <w:r w:rsidRPr="004E4024">
        <w:rPr>
          <w:bCs/>
        </w:rPr>
        <w:t>ados gerais sobre o produto: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a) forma farmacêutica e apresentação;</w:t>
      </w:r>
    </w:p>
    <w:p w:rsidR="004E4024" w:rsidRDefault="00517C27" w:rsidP="004E4024">
      <w:pPr>
        <w:spacing w:after="200"/>
        <w:ind w:firstLine="567"/>
        <w:jc w:val="both"/>
      </w:pPr>
      <w:r w:rsidRPr="004E4024">
        <w:rPr>
          <w:bCs/>
        </w:rPr>
        <w:t xml:space="preserve">b) </w:t>
      </w:r>
      <w:r w:rsidR="003A4D8D" w:rsidRPr="004E4024">
        <w:t xml:space="preserve">composição completa da formulação, com todos os seus componentes especificados pelos nomes técnicos correspondentes e sinônimos de acordo com a Denominação Comum Brasileira </w:t>
      </w:r>
      <w:r w:rsidR="00A32D99" w:rsidRPr="004E4024">
        <w:t>(</w:t>
      </w:r>
      <w:r w:rsidR="003A4D8D" w:rsidRPr="004E4024">
        <w:t>DCB</w:t>
      </w:r>
      <w:r w:rsidR="00A32D99" w:rsidRPr="004E4024">
        <w:t>)</w:t>
      </w:r>
      <w:r w:rsidR="003A4D8D" w:rsidRPr="004E4024">
        <w:t xml:space="preserve">, se houver, ou Denominação Comum Internacional </w:t>
      </w:r>
      <w:r w:rsidR="00A32D99" w:rsidRPr="004E4024">
        <w:t>(</w:t>
      </w:r>
      <w:r w:rsidR="003A4D8D" w:rsidRPr="004E4024">
        <w:t>DCI</w:t>
      </w:r>
      <w:r w:rsidR="00A32D99" w:rsidRPr="004E4024">
        <w:t>)</w:t>
      </w:r>
      <w:r w:rsidR="003A4D8D" w:rsidRPr="004E4024">
        <w:t xml:space="preserve"> ou, na sua ausência, a denominação </w:t>
      </w:r>
      <w:proofErr w:type="spellStart"/>
      <w:r w:rsidR="003A4D8D" w:rsidRPr="004E4024">
        <w:t>Chemical</w:t>
      </w:r>
      <w:proofErr w:type="spellEnd"/>
      <w:r w:rsidR="003A4D8D" w:rsidRPr="004E4024">
        <w:t xml:space="preserve"> Abstracts Service </w:t>
      </w:r>
      <w:r w:rsidR="00A32D99" w:rsidRPr="004E4024">
        <w:t>(</w:t>
      </w:r>
      <w:r w:rsidR="003A4D8D" w:rsidRPr="004E4024">
        <w:t>CAS</w:t>
      </w:r>
      <w:r w:rsidR="00A32D99" w:rsidRPr="004E4024">
        <w:t>)</w:t>
      </w:r>
      <w:r w:rsidR="00110D0D" w:rsidRPr="004E4024">
        <w:t>,</w:t>
      </w:r>
      <w:r w:rsidR="003A4D8D" w:rsidRPr="004E4024">
        <w:t xml:space="preserve"> indicando as unidades de medidas utilizadas; </w:t>
      </w:r>
    </w:p>
    <w:p w:rsidR="004E4024" w:rsidRDefault="00517C27" w:rsidP="004E4024">
      <w:pPr>
        <w:spacing w:after="200"/>
        <w:ind w:firstLine="567"/>
        <w:jc w:val="both"/>
      </w:pPr>
      <w:r w:rsidRPr="004E4024">
        <w:rPr>
          <w:bCs/>
        </w:rPr>
        <w:t xml:space="preserve">c) </w:t>
      </w:r>
      <w:r w:rsidR="003A4D8D" w:rsidRPr="004E4024">
        <w:t xml:space="preserve">funções que cada substância desempenha na fórmula; </w:t>
      </w:r>
    </w:p>
    <w:p w:rsidR="004E4024" w:rsidRDefault="003A4D8D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d) </w:t>
      </w:r>
      <w:proofErr w:type="gramStart"/>
      <w:r w:rsidRPr="004E4024">
        <w:rPr>
          <w:bCs/>
        </w:rPr>
        <w:t>via(</w:t>
      </w:r>
      <w:proofErr w:type="gramEnd"/>
      <w:r w:rsidRPr="004E4024">
        <w:rPr>
          <w:bCs/>
        </w:rPr>
        <w:t>s) de administração;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e) instruções de uso, quando for o caso;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f) </w:t>
      </w:r>
      <w:r w:rsidR="00517C27" w:rsidRPr="004E4024">
        <w:rPr>
          <w:bCs/>
        </w:rPr>
        <w:t>descrição do mecanismo de ação, indicações, finalidade ou uso a que se destina;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g) </w:t>
      </w:r>
      <w:proofErr w:type="spellStart"/>
      <w:r w:rsidRPr="004E4024">
        <w:rPr>
          <w:bCs/>
        </w:rPr>
        <w:t>contra-indicações</w:t>
      </w:r>
      <w:proofErr w:type="spellEnd"/>
      <w:r w:rsidRPr="004E4024">
        <w:rPr>
          <w:bCs/>
        </w:rPr>
        <w:t>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h) efeitos colaterais;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i) reações adversas;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j) restrições ou cuidados que devem ser considerados;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k) precauções e advertências;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l) interações medicamentosas e alimentares;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m) alteração nos testes laboratoriais, quando houver;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n) sinais, sintomas e condutas, em caso de superdoses;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o) prazo de validade;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p) cuidados de conservação;</w:t>
      </w:r>
    </w:p>
    <w:p w:rsidR="004E4024" w:rsidRDefault="00F160F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q) temperatura de transporte;</w:t>
      </w:r>
    </w:p>
    <w:p w:rsidR="004E4024" w:rsidRDefault="007752CA" w:rsidP="004E4024">
      <w:pPr>
        <w:spacing w:after="200"/>
        <w:ind w:firstLine="567"/>
        <w:jc w:val="both"/>
      </w:pPr>
      <w:r w:rsidRPr="004E4024">
        <w:rPr>
          <w:bCs/>
        </w:rPr>
        <w:t>r</w:t>
      </w:r>
      <w:r w:rsidR="00F160F9" w:rsidRPr="004E4024">
        <w:rPr>
          <w:bCs/>
        </w:rPr>
        <w:t xml:space="preserve">) </w:t>
      </w:r>
      <w:r w:rsidR="006A3DB4" w:rsidRPr="004E4024">
        <w:rPr>
          <w:bCs/>
        </w:rPr>
        <w:t xml:space="preserve">descrição e </w:t>
      </w:r>
      <w:r w:rsidR="002E3510" w:rsidRPr="004E4024">
        <w:t>especificações do material da embalagem primária e secundária;</w:t>
      </w:r>
    </w:p>
    <w:p w:rsidR="002E3510" w:rsidRPr="004E4024" w:rsidRDefault="007752CA" w:rsidP="004E4024">
      <w:pPr>
        <w:spacing w:after="200"/>
        <w:ind w:firstLine="567"/>
        <w:jc w:val="both"/>
        <w:rPr>
          <w:bCs/>
        </w:rPr>
      </w:pPr>
      <w:r w:rsidRPr="004E4024">
        <w:t>s</w:t>
      </w:r>
      <w:r w:rsidR="002E3510" w:rsidRPr="004E4024">
        <w:t>) c</w:t>
      </w:r>
      <w:r w:rsidR="002E3510" w:rsidRPr="004E4024">
        <w:rPr>
          <w:bCs/>
        </w:rPr>
        <w:t xml:space="preserve">ódigos ou </w:t>
      </w:r>
      <w:proofErr w:type="gramStart"/>
      <w:r w:rsidR="002E3510" w:rsidRPr="004E4024">
        <w:rPr>
          <w:bCs/>
        </w:rPr>
        <w:t>convenções utilizados</w:t>
      </w:r>
      <w:proofErr w:type="gramEnd"/>
      <w:r w:rsidR="002E3510" w:rsidRPr="004E4024">
        <w:rPr>
          <w:bCs/>
        </w:rPr>
        <w:t xml:space="preserve"> pela empresa </w:t>
      </w:r>
      <w:r w:rsidR="0090101D" w:rsidRPr="004E4024">
        <w:rPr>
          <w:bCs/>
        </w:rPr>
        <w:t xml:space="preserve">solicitante </w:t>
      </w:r>
      <w:r w:rsidR="002E3510" w:rsidRPr="004E4024">
        <w:rPr>
          <w:bCs/>
        </w:rPr>
        <w:t xml:space="preserve">para identificação dos lotes de </w:t>
      </w:r>
      <w:r w:rsidR="008243DE" w:rsidRPr="004E4024">
        <w:rPr>
          <w:bCs/>
        </w:rPr>
        <w:t>Material-Fonte</w:t>
      </w:r>
      <w:r w:rsidR="002E3510" w:rsidRPr="004E4024">
        <w:rPr>
          <w:bCs/>
        </w:rPr>
        <w:t xml:space="preserve">, </w:t>
      </w:r>
      <w:r w:rsidR="008243DE" w:rsidRPr="004E4024">
        <w:rPr>
          <w:bCs/>
        </w:rPr>
        <w:t>Princípio Ativo</w:t>
      </w:r>
      <w:r w:rsidR="002E3510" w:rsidRPr="004E4024">
        <w:rPr>
          <w:bCs/>
        </w:rPr>
        <w:t>,</w:t>
      </w:r>
      <w:r w:rsidR="002E3510" w:rsidRPr="004E4024">
        <w:t xml:space="preserve"> </w:t>
      </w:r>
      <w:r w:rsidR="009A290D" w:rsidRPr="004E4024">
        <w:t>Produto a Granel</w:t>
      </w:r>
      <w:r w:rsidR="002E3510" w:rsidRPr="004E4024">
        <w:rPr>
          <w:bCs/>
        </w:rPr>
        <w:t xml:space="preserve">, </w:t>
      </w:r>
      <w:r w:rsidR="009A290D" w:rsidRPr="004E4024">
        <w:rPr>
          <w:bCs/>
        </w:rPr>
        <w:t>Produto Intermediário</w:t>
      </w:r>
      <w:r w:rsidR="002E3510" w:rsidRPr="004E4024">
        <w:rPr>
          <w:bCs/>
        </w:rPr>
        <w:t xml:space="preserve">, </w:t>
      </w:r>
      <w:r w:rsidR="009A290D" w:rsidRPr="004E4024">
        <w:rPr>
          <w:bCs/>
        </w:rPr>
        <w:t>Produto em sua Embalagem Primária</w:t>
      </w:r>
      <w:r w:rsidR="002E3510" w:rsidRPr="004E4024">
        <w:rPr>
          <w:bCs/>
        </w:rPr>
        <w:t xml:space="preserve">, </w:t>
      </w:r>
      <w:r w:rsidR="009A290D" w:rsidRPr="004E4024">
        <w:rPr>
          <w:bCs/>
        </w:rPr>
        <w:t>Produto Terminado</w:t>
      </w:r>
      <w:r w:rsidR="002E3510" w:rsidRPr="004E4024">
        <w:rPr>
          <w:bCs/>
        </w:rPr>
        <w:t>, diluente e adjuvante; e</w:t>
      </w:r>
    </w:p>
    <w:p w:rsidR="004E4024" w:rsidRDefault="007752CA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lastRenderedPageBreak/>
        <w:t>t</w:t>
      </w:r>
      <w:r w:rsidR="00F03126" w:rsidRPr="004E4024">
        <w:rPr>
          <w:bCs/>
        </w:rPr>
        <w:t xml:space="preserve">) justificativa para a utilização do </w:t>
      </w:r>
      <w:r w:rsidR="008243DE" w:rsidRPr="004E4024">
        <w:rPr>
          <w:bCs/>
        </w:rPr>
        <w:t>Material-Fonte</w:t>
      </w:r>
      <w:r w:rsidR="00F03126" w:rsidRPr="004E4024">
        <w:rPr>
          <w:bCs/>
        </w:rPr>
        <w:t xml:space="preserve"> na imunização</w:t>
      </w:r>
      <w:r w:rsidR="004A11CF" w:rsidRPr="004E4024">
        <w:rPr>
          <w:bCs/>
        </w:rPr>
        <w:t xml:space="preserve"> e </w:t>
      </w:r>
      <w:r w:rsidR="00F64ECB" w:rsidRPr="004E4024">
        <w:rPr>
          <w:bCs/>
        </w:rPr>
        <w:t>racional técnico para desenvolvimento de</w:t>
      </w:r>
      <w:r w:rsidR="004A11CF" w:rsidRPr="004E4024">
        <w:rPr>
          <w:bCs/>
        </w:rPr>
        <w:t xml:space="preserve"> </w:t>
      </w:r>
      <w:r w:rsidR="00923A01" w:rsidRPr="004E4024">
        <w:rPr>
          <w:bCs/>
        </w:rPr>
        <w:t xml:space="preserve">Soros </w:t>
      </w:r>
      <w:proofErr w:type="spellStart"/>
      <w:r w:rsidR="00923A01" w:rsidRPr="004E4024">
        <w:rPr>
          <w:bCs/>
        </w:rPr>
        <w:t>Hiperimunes</w:t>
      </w:r>
      <w:proofErr w:type="spellEnd"/>
      <w:r w:rsidR="00CD5D36" w:rsidRPr="004E4024">
        <w:rPr>
          <w:bCs/>
        </w:rPr>
        <w:t xml:space="preserve"> Monovalente </w:t>
      </w:r>
      <w:r w:rsidR="004A11CF" w:rsidRPr="004E4024">
        <w:rPr>
          <w:bCs/>
        </w:rPr>
        <w:t xml:space="preserve">ou </w:t>
      </w:r>
      <w:r w:rsidR="00CD5D36" w:rsidRPr="004E4024">
        <w:rPr>
          <w:bCs/>
        </w:rPr>
        <w:t>Polivalente</w:t>
      </w:r>
      <w:r w:rsidR="007124C4" w:rsidRPr="004E4024">
        <w:rPr>
          <w:bCs/>
        </w:rPr>
        <w:t>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III – </w:t>
      </w:r>
      <w:r w:rsidR="00CF37C1" w:rsidRPr="004E4024">
        <w:t>H</w:t>
      </w:r>
      <w:r w:rsidR="00E2760B" w:rsidRPr="004E4024">
        <w:t>istórico do desenvolvimento do produto, apontando a finalidade de uso de cada lote produzido (estudo</w:t>
      </w:r>
      <w:r w:rsidR="00273810" w:rsidRPr="004E4024">
        <w:t>s</w:t>
      </w:r>
      <w:r w:rsidR="00E2760B" w:rsidRPr="004E4024">
        <w:t xml:space="preserve"> de estabilidade, estudos pré-clínicos e clínicos)</w:t>
      </w:r>
      <w:r w:rsidRPr="004E4024">
        <w:rPr>
          <w:bCs/>
        </w:rPr>
        <w:t>;</w:t>
      </w:r>
    </w:p>
    <w:p w:rsidR="004E4024" w:rsidRDefault="008B12A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IV – </w:t>
      </w:r>
      <w:r w:rsidR="00CF37C1" w:rsidRPr="004E4024">
        <w:rPr>
          <w:bCs/>
        </w:rPr>
        <w:t>D</w:t>
      </w:r>
      <w:r w:rsidRPr="004E4024">
        <w:rPr>
          <w:bCs/>
        </w:rPr>
        <w:t xml:space="preserve">ados do </w:t>
      </w:r>
      <w:r w:rsidR="008243DE" w:rsidRPr="004E4024">
        <w:rPr>
          <w:bCs/>
        </w:rPr>
        <w:t>Material-Fonte</w:t>
      </w:r>
      <w:r w:rsidRPr="004E4024">
        <w:rPr>
          <w:bCs/>
        </w:rPr>
        <w:t xml:space="preserve"> utilizado para obtenção do </w:t>
      </w:r>
      <w:r w:rsidR="00CD5D36" w:rsidRPr="004E4024">
        <w:rPr>
          <w:bCs/>
        </w:rPr>
        <w:t xml:space="preserve">Soro </w:t>
      </w:r>
      <w:proofErr w:type="spellStart"/>
      <w:r w:rsidR="00CD5D36" w:rsidRPr="004E4024">
        <w:rPr>
          <w:bCs/>
        </w:rPr>
        <w:t>Hiperimune</w:t>
      </w:r>
      <w:proofErr w:type="spellEnd"/>
      <w:r w:rsidRPr="004E4024">
        <w:rPr>
          <w:bCs/>
        </w:rPr>
        <w:t>:</w:t>
      </w:r>
    </w:p>
    <w:p w:rsidR="004E4024" w:rsidRDefault="008B12A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a) </w:t>
      </w:r>
      <w:r w:rsidR="00185E42" w:rsidRPr="004E4024">
        <w:rPr>
          <w:bCs/>
        </w:rPr>
        <w:t>c</w:t>
      </w:r>
      <w:r w:rsidRPr="004E4024">
        <w:rPr>
          <w:bCs/>
        </w:rPr>
        <w:t>aracterização;</w:t>
      </w:r>
    </w:p>
    <w:p w:rsidR="004E4024" w:rsidRDefault="0015605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b</w:t>
      </w:r>
      <w:r w:rsidR="00185E42" w:rsidRPr="004E4024">
        <w:rPr>
          <w:bCs/>
        </w:rPr>
        <w:t>) o</w:t>
      </w:r>
      <w:r w:rsidR="008B12A0" w:rsidRPr="004E4024">
        <w:rPr>
          <w:bCs/>
        </w:rPr>
        <w:t>rigem;</w:t>
      </w:r>
    </w:p>
    <w:p w:rsidR="004E4024" w:rsidRDefault="0015605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c</w:t>
      </w:r>
      <w:r w:rsidR="00185E42" w:rsidRPr="004E4024">
        <w:rPr>
          <w:bCs/>
        </w:rPr>
        <w:t>) d</w:t>
      </w:r>
      <w:r w:rsidR="008B12A0" w:rsidRPr="004E4024">
        <w:rPr>
          <w:bCs/>
        </w:rPr>
        <w:t xml:space="preserve">escrição do método de </w:t>
      </w:r>
      <w:r w:rsidR="00CF37C1" w:rsidRPr="004E4024">
        <w:rPr>
          <w:bCs/>
        </w:rPr>
        <w:t>obtenção</w:t>
      </w:r>
      <w:r w:rsidR="008B12A0" w:rsidRPr="004E4024">
        <w:rPr>
          <w:bCs/>
        </w:rPr>
        <w:t>;</w:t>
      </w:r>
    </w:p>
    <w:p w:rsidR="004E4024" w:rsidRDefault="0015605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d</w:t>
      </w:r>
      <w:r w:rsidR="00185E42" w:rsidRPr="004E4024">
        <w:rPr>
          <w:bCs/>
        </w:rPr>
        <w:t>) l</w:t>
      </w:r>
      <w:r w:rsidR="008B12A0" w:rsidRPr="004E4024">
        <w:rPr>
          <w:bCs/>
        </w:rPr>
        <w:t>ista e descrição dos testes de controle de qualidade realizados;</w:t>
      </w:r>
    </w:p>
    <w:p w:rsidR="004E4024" w:rsidRDefault="00156059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e</w:t>
      </w:r>
      <w:r w:rsidR="00185E42" w:rsidRPr="004E4024">
        <w:rPr>
          <w:bCs/>
        </w:rPr>
        <w:t xml:space="preserve">) </w:t>
      </w:r>
      <w:r w:rsidR="00CF37C1" w:rsidRPr="004E4024">
        <w:rPr>
          <w:bCs/>
        </w:rPr>
        <w:t xml:space="preserve">cuidados </w:t>
      </w:r>
      <w:r w:rsidR="008B12A0" w:rsidRPr="004E4024">
        <w:rPr>
          <w:bCs/>
        </w:rPr>
        <w:t>de armazenamento;</w:t>
      </w:r>
    </w:p>
    <w:p w:rsidR="004E4024" w:rsidRDefault="00960DA3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f) estudos de estabilidade</w:t>
      </w:r>
      <w:r w:rsidR="007E1A91" w:rsidRPr="004E4024">
        <w:rPr>
          <w:bCs/>
        </w:rPr>
        <w:t xml:space="preserve">, quando </w:t>
      </w:r>
      <w:r w:rsidR="00664836" w:rsidRPr="004E4024">
        <w:rPr>
          <w:bCs/>
        </w:rPr>
        <w:t>aplicável</w:t>
      </w:r>
      <w:r w:rsidRPr="004E4024">
        <w:rPr>
          <w:bCs/>
        </w:rPr>
        <w:t>;</w:t>
      </w:r>
    </w:p>
    <w:p w:rsidR="004E4024" w:rsidRDefault="002F4A3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g</w:t>
      </w:r>
      <w:r w:rsidR="00185E42" w:rsidRPr="004E4024">
        <w:rPr>
          <w:bCs/>
        </w:rPr>
        <w:t>)</w:t>
      </w:r>
      <w:r w:rsidR="008B12A0" w:rsidRPr="004E4024">
        <w:rPr>
          <w:bCs/>
        </w:rPr>
        <w:t xml:space="preserve"> </w:t>
      </w:r>
      <w:r w:rsidRPr="004E4024">
        <w:rPr>
          <w:bCs/>
        </w:rPr>
        <w:t>no</w:t>
      </w:r>
      <w:r w:rsidR="008B12A0" w:rsidRPr="004E4024">
        <w:rPr>
          <w:bCs/>
        </w:rPr>
        <w:t xml:space="preserve"> caso d</w:t>
      </w:r>
      <w:r w:rsidR="00664836" w:rsidRPr="004E4024">
        <w:rPr>
          <w:bCs/>
        </w:rPr>
        <w:t xml:space="preserve">e </w:t>
      </w:r>
      <w:r w:rsidR="008B12A0" w:rsidRPr="004E4024">
        <w:rPr>
          <w:bCs/>
        </w:rPr>
        <w:t xml:space="preserve">o </w:t>
      </w:r>
      <w:r w:rsidR="008243DE" w:rsidRPr="004E4024">
        <w:rPr>
          <w:bCs/>
        </w:rPr>
        <w:t>Material-Fonte</w:t>
      </w:r>
      <w:r w:rsidR="008B12A0" w:rsidRPr="004E4024">
        <w:rPr>
          <w:bCs/>
        </w:rPr>
        <w:t xml:space="preserve"> ser de origem animal</w:t>
      </w:r>
      <w:r w:rsidR="00CF37C1" w:rsidRPr="004E4024">
        <w:rPr>
          <w:bCs/>
        </w:rPr>
        <w:t>,</w:t>
      </w:r>
      <w:r w:rsidR="008B12A0" w:rsidRPr="004E4024">
        <w:rPr>
          <w:bCs/>
        </w:rPr>
        <w:t xml:space="preserve"> incluir informações sobre o procedimento de admissão dos animais</w:t>
      </w:r>
      <w:r w:rsidR="00CF37C1" w:rsidRPr="004E4024">
        <w:rPr>
          <w:bCs/>
        </w:rPr>
        <w:t>, tais</w:t>
      </w:r>
      <w:r w:rsidR="008B12A0" w:rsidRPr="004E4024">
        <w:rPr>
          <w:bCs/>
        </w:rPr>
        <w:t xml:space="preserve"> como: procedimentos de identificação, quarentena, </w:t>
      </w:r>
      <w:r w:rsidR="008D1C85" w:rsidRPr="004E4024">
        <w:rPr>
          <w:bCs/>
        </w:rPr>
        <w:t xml:space="preserve">cuidados sanitários, </w:t>
      </w:r>
      <w:r w:rsidR="008B12A0" w:rsidRPr="004E4024">
        <w:rPr>
          <w:bCs/>
        </w:rPr>
        <w:t>condições de alojamento, alimentação, origem geográfica</w:t>
      </w:r>
      <w:r w:rsidR="008D1C85" w:rsidRPr="004E4024">
        <w:rPr>
          <w:bCs/>
        </w:rPr>
        <w:t xml:space="preserve"> e</w:t>
      </w:r>
      <w:r w:rsidR="008B12A0" w:rsidRPr="004E4024">
        <w:rPr>
          <w:bCs/>
        </w:rPr>
        <w:t xml:space="preserve"> padrões éticos adotados</w:t>
      </w:r>
      <w:r w:rsidR="008F29DB" w:rsidRPr="004E4024">
        <w:rPr>
          <w:bCs/>
        </w:rPr>
        <w:t>;</w:t>
      </w:r>
      <w:r w:rsidR="008B12A0" w:rsidRPr="004E4024">
        <w:rPr>
          <w:bCs/>
        </w:rPr>
        <w:t xml:space="preserve"> 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h</w:t>
      </w:r>
      <w:r w:rsidR="00185E42" w:rsidRPr="004E4024">
        <w:rPr>
          <w:bCs/>
        </w:rPr>
        <w:t xml:space="preserve">) </w:t>
      </w:r>
      <w:r w:rsidRPr="004E4024">
        <w:rPr>
          <w:bCs/>
        </w:rPr>
        <w:t>no</w:t>
      </w:r>
      <w:r w:rsidR="008B12A0" w:rsidRPr="004E4024">
        <w:rPr>
          <w:bCs/>
        </w:rPr>
        <w:t xml:space="preserve"> caso d</w:t>
      </w:r>
      <w:r w:rsidR="00664836" w:rsidRPr="004E4024">
        <w:rPr>
          <w:bCs/>
        </w:rPr>
        <w:t xml:space="preserve">e </w:t>
      </w:r>
      <w:r w:rsidR="008B12A0" w:rsidRPr="004E4024">
        <w:rPr>
          <w:bCs/>
        </w:rPr>
        <w:t xml:space="preserve">o </w:t>
      </w:r>
      <w:r w:rsidR="008243DE" w:rsidRPr="004E4024">
        <w:rPr>
          <w:bCs/>
        </w:rPr>
        <w:t>Material-Fonte</w:t>
      </w:r>
      <w:r w:rsidR="008B12A0" w:rsidRPr="004E4024">
        <w:rPr>
          <w:bCs/>
        </w:rPr>
        <w:t xml:space="preserve"> ser derivad</w:t>
      </w:r>
      <w:r w:rsidR="00694B5B" w:rsidRPr="004E4024">
        <w:rPr>
          <w:bCs/>
        </w:rPr>
        <w:t>o</w:t>
      </w:r>
      <w:r w:rsidR="008B12A0" w:rsidRPr="004E4024">
        <w:rPr>
          <w:bCs/>
        </w:rPr>
        <w:t xml:space="preserve"> de tecidos humanos</w:t>
      </w:r>
      <w:r w:rsidR="008F29DB" w:rsidRPr="004E4024">
        <w:rPr>
          <w:bCs/>
        </w:rPr>
        <w:t>,</w:t>
      </w:r>
      <w:r w:rsidR="008B12A0" w:rsidRPr="004E4024">
        <w:rPr>
          <w:bCs/>
        </w:rPr>
        <w:t xml:space="preserve"> </w:t>
      </w:r>
      <w:r w:rsidR="008F29DB" w:rsidRPr="004E4024">
        <w:rPr>
          <w:bCs/>
        </w:rPr>
        <w:t xml:space="preserve">incluir informações sobre </w:t>
      </w:r>
      <w:r w:rsidR="008B12A0" w:rsidRPr="004E4024">
        <w:rPr>
          <w:bCs/>
        </w:rPr>
        <w:t>as características do doador original, tais como</w:t>
      </w:r>
      <w:r w:rsidR="008F29DB" w:rsidRPr="004E4024">
        <w:rPr>
          <w:bCs/>
        </w:rPr>
        <w:t>:</w:t>
      </w:r>
      <w:r w:rsidR="008B12A0" w:rsidRPr="004E4024">
        <w:rPr>
          <w:bCs/>
        </w:rPr>
        <w:t xml:space="preserve"> tecido ou órgão de origem, origem étnica e geográfica, idade, sexo e condição fisiológica geral, além </w:t>
      </w:r>
      <w:r w:rsidR="008D1C85" w:rsidRPr="004E4024">
        <w:rPr>
          <w:bCs/>
        </w:rPr>
        <w:t xml:space="preserve">da demonstração de ausência </w:t>
      </w:r>
      <w:r w:rsidR="0075729A" w:rsidRPr="004E4024">
        <w:rPr>
          <w:bCs/>
        </w:rPr>
        <w:t xml:space="preserve">de </w:t>
      </w:r>
      <w:r w:rsidR="008B12A0" w:rsidRPr="004E4024">
        <w:rPr>
          <w:bCs/>
        </w:rPr>
        <w:t>agentes infecciosos;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i</w:t>
      </w:r>
      <w:r w:rsidR="00185E42" w:rsidRPr="004E4024">
        <w:rPr>
          <w:bCs/>
        </w:rPr>
        <w:t xml:space="preserve">) </w:t>
      </w:r>
      <w:r w:rsidRPr="004E4024">
        <w:rPr>
          <w:bCs/>
        </w:rPr>
        <w:t>no</w:t>
      </w:r>
      <w:r w:rsidR="008B12A0" w:rsidRPr="004E4024">
        <w:rPr>
          <w:bCs/>
        </w:rPr>
        <w:t xml:space="preserve"> caso d</w:t>
      </w:r>
      <w:r w:rsidR="00664836" w:rsidRPr="004E4024">
        <w:rPr>
          <w:bCs/>
        </w:rPr>
        <w:t xml:space="preserve">e </w:t>
      </w:r>
      <w:r w:rsidR="008B12A0" w:rsidRPr="004E4024">
        <w:rPr>
          <w:bCs/>
        </w:rPr>
        <w:t xml:space="preserve">o </w:t>
      </w:r>
      <w:r w:rsidR="008243DE" w:rsidRPr="004E4024">
        <w:rPr>
          <w:bCs/>
        </w:rPr>
        <w:t>Material-Fonte</w:t>
      </w:r>
      <w:r w:rsidR="008B12A0" w:rsidRPr="004E4024">
        <w:rPr>
          <w:bCs/>
        </w:rPr>
        <w:t xml:space="preserve"> ser </w:t>
      </w:r>
      <w:r w:rsidR="004B208E" w:rsidRPr="004E4024">
        <w:rPr>
          <w:bCs/>
        </w:rPr>
        <w:t>derivado de</w:t>
      </w:r>
      <w:r w:rsidR="008B12A0" w:rsidRPr="004E4024">
        <w:rPr>
          <w:bCs/>
        </w:rPr>
        <w:t xml:space="preserve"> linhagem celular</w:t>
      </w:r>
      <w:r w:rsidR="004B208E" w:rsidRPr="004E4024">
        <w:rPr>
          <w:bCs/>
        </w:rPr>
        <w:t>,</w:t>
      </w:r>
      <w:r w:rsidR="00960DA3" w:rsidRPr="004E4024">
        <w:rPr>
          <w:bCs/>
        </w:rPr>
        <w:t xml:space="preserve"> incluir as seguintes informações:</w:t>
      </w:r>
      <w:r w:rsidR="008B12A0" w:rsidRPr="004E4024">
        <w:rPr>
          <w:bCs/>
        </w:rPr>
        <w:t xml:space="preserve"> </w:t>
      </w:r>
      <w:r w:rsidRPr="004E4024">
        <w:rPr>
          <w:bCs/>
        </w:rPr>
        <w:t>d</w:t>
      </w:r>
      <w:r w:rsidR="008B12A0" w:rsidRPr="004E4024">
        <w:rPr>
          <w:bCs/>
        </w:rPr>
        <w:t>escrição dos lotes-semente mestre e de trabalho</w:t>
      </w:r>
      <w:r w:rsidR="00664836" w:rsidRPr="004E4024">
        <w:rPr>
          <w:bCs/>
        </w:rPr>
        <w:t>,</w:t>
      </w:r>
      <w:r w:rsidR="008B12A0" w:rsidRPr="004E4024">
        <w:rPr>
          <w:bCs/>
        </w:rPr>
        <w:t xml:space="preserve"> incluindo identificação, origem, caracterização, estabilidade, determinação de agentes estranhos/adventícios, controles, métodos utilizados na sua elaboração e frequência de realização dos ensaios; e 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j</w:t>
      </w:r>
      <w:r w:rsidR="00185E42" w:rsidRPr="004E4024">
        <w:rPr>
          <w:bCs/>
        </w:rPr>
        <w:t xml:space="preserve">) </w:t>
      </w:r>
      <w:r w:rsidRPr="004E4024">
        <w:rPr>
          <w:bCs/>
        </w:rPr>
        <w:t>no</w:t>
      </w:r>
      <w:r w:rsidR="008B12A0" w:rsidRPr="004E4024">
        <w:rPr>
          <w:bCs/>
        </w:rPr>
        <w:t xml:space="preserve"> caso d</w:t>
      </w:r>
      <w:r w:rsidR="00664836" w:rsidRPr="004E4024">
        <w:rPr>
          <w:bCs/>
        </w:rPr>
        <w:t xml:space="preserve">e </w:t>
      </w:r>
      <w:r w:rsidR="008B12A0" w:rsidRPr="004E4024">
        <w:rPr>
          <w:bCs/>
        </w:rPr>
        <w:t xml:space="preserve">o </w:t>
      </w:r>
      <w:r w:rsidR="008243DE" w:rsidRPr="004E4024">
        <w:rPr>
          <w:bCs/>
        </w:rPr>
        <w:t>Material-Fonte</w:t>
      </w:r>
      <w:r w:rsidR="008B12A0" w:rsidRPr="004E4024">
        <w:rPr>
          <w:bCs/>
        </w:rPr>
        <w:t xml:space="preserve"> ser </w:t>
      </w:r>
      <w:r w:rsidR="00B44D26" w:rsidRPr="004E4024">
        <w:rPr>
          <w:bCs/>
        </w:rPr>
        <w:t xml:space="preserve">derivado de </w:t>
      </w:r>
      <w:r w:rsidR="00960DA3" w:rsidRPr="004E4024">
        <w:rPr>
          <w:bCs/>
        </w:rPr>
        <w:t xml:space="preserve">um </w:t>
      </w:r>
      <w:r w:rsidR="008B12A0" w:rsidRPr="004E4024">
        <w:rPr>
          <w:bCs/>
        </w:rPr>
        <w:t>microrganismo</w:t>
      </w:r>
      <w:r w:rsidR="00EA208B" w:rsidRPr="004E4024">
        <w:rPr>
          <w:bCs/>
        </w:rPr>
        <w:t xml:space="preserve"> ou vírus</w:t>
      </w:r>
      <w:r w:rsidRPr="004E4024">
        <w:rPr>
          <w:bCs/>
        </w:rPr>
        <w:t>,</w:t>
      </w:r>
      <w:r w:rsidR="008B12A0" w:rsidRPr="004E4024">
        <w:rPr>
          <w:bCs/>
        </w:rPr>
        <w:t xml:space="preserve"> </w:t>
      </w:r>
      <w:r w:rsidR="00960DA3" w:rsidRPr="004E4024">
        <w:rPr>
          <w:bCs/>
        </w:rPr>
        <w:t xml:space="preserve">incluir as seguintes informações: </w:t>
      </w:r>
      <w:r w:rsidR="008B12A0" w:rsidRPr="004E4024">
        <w:rPr>
          <w:bCs/>
        </w:rPr>
        <w:t>descrição das cepas utilizadas, com informação sobre sua origem, identificação, processos de obtenção e certificados de análise.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V – Informações sobre as etapas de fabricação: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a) protocolo resumido de produção</w:t>
      </w:r>
      <w:r w:rsidR="00664836" w:rsidRPr="004E4024">
        <w:rPr>
          <w:bCs/>
        </w:rPr>
        <w:t>,</w:t>
      </w:r>
      <w:r w:rsidRPr="004E4024">
        <w:rPr>
          <w:bCs/>
        </w:rPr>
        <w:t xml:space="preserve"> na forma de fluxograma, com identificação dos controles em processo;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b) </w:t>
      </w:r>
      <w:r w:rsidR="00EE0941" w:rsidRPr="004E4024">
        <w:rPr>
          <w:bCs/>
        </w:rPr>
        <w:t>lista dos principais equipamentos utilizados na fabricação;</w:t>
      </w:r>
    </w:p>
    <w:p w:rsidR="004E4024" w:rsidRDefault="00EE0941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c) </w:t>
      </w:r>
      <w:r w:rsidR="00517C27" w:rsidRPr="004E4024">
        <w:rPr>
          <w:bCs/>
        </w:rPr>
        <w:t xml:space="preserve">descrição detalhada de todas as </w:t>
      </w:r>
      <w:r w:rsidR="008A431B" w:rsidRPr="004E4024">
        <w:rPr>
          <w:bCs/>
        </w:rPr>
        <w:t>etapas de fabricação do produto e</w:t>
      </w:r>
      <w:r w:rsidR="00517C27" w:rsidRPr="004E4024">
        <w:rPr>
          <w:bCs/>
        </w:rPr>
        <w:t xml:space="preserve"> </w:t>
      </w:r>
      <w:r w:rsidRPr="004E4024">
        <w:rPr>
          <w:bCs/>
        </w:rPr>
        <w:t xml:space="preserve">do diluente, </w:t>
      </w:r>
      <w:r w:rsidR="00517C27" w:rsidRPr="004E4024">
        <w:rPr>
          <w:bCs/>
        </w:rPr>
        <w:t>desde a obtenção do</w:t>
      </w:r>
      <w:r w:rsidR="00D75DA7" w:rsidRPr="004E4024">
        <w:rPr>
          <w:bCs/>
        </w:rPr>
        <w:t xml:space="preserve"> </w:t>
      </w:r>
      <w:r w:rsidR="008243DE" w:rsidRPr="004E4024">
        <w:rPr>
          <w:bCs/>
        </w:rPr>
        <w:t>Material-Fonte</w:t>
      </w:r>
      <w:r w:rsidR="00D75DA7" w:rsidRPr="004E4024">
        <w:rPr>
          <w:bCs/>
        </w:rPr>
        <w:t xml:space="preserve"> </w:t>
      </w:r>
      <w:r w:rsidR="00517C27" w:rsidRPr="004E4024">
        <w:rPr>
          <w:bCs/>
        </w:rPr>
        <w:t xml:space="preserve">até a embalagem final; </w:t>
      </w:r>
    </w:p>
    <w:p w:rsidR="004E4024" w:rsidRDefault="00EE0941" w:rsidP="004E4024">
      <w:pPr>
        <w:spacing w:after="200"/>
        <w:ind w:firstLine="567"/>
        <w:jc w:val="both"/>
      </w:pPr>
      <w:r w:rsidRPr="004E4024">
        <w:rPr>
          <w:bCs/>
        </w:rPr>
        <w:t>d) i</w:t>
      </w:r>
      <w:r w:rsidRPr="004E4024">
        <w:t>dentificação e justificativa para a seleção das etapas críticas do processo de fabricação;</w:t>
      </w:r>
    </w:p>
    <w:p w:rsidR="004E4024" w:rsidRDefault="00EE0941" w:rsidP="004E4024">
      <w:pPr>
        <w:spacing w:after="200"/>
        <w:ind w:firstLine="567"/>
        <w:jc w:val="both"/>
      </w:pPr>
      <w:r w:rsidRPr="004E4024">
        <w:lastRenderedPageBreak/>
        <w:t>e) descrição dos controles em processo e justificativa para determinação das especificações;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f</w:t>
      </w:r>
      <w:r w:rsidR="00517C27" w:rsidRPr="004E4024">
        <w:rPr>
          <w:bCs/>
        </w:rPr>
        <w:t xml:space="preserve">) escala de produção </w:t>
      </w:r>
      <w:r w:rsidRPr="004E4024">
        <w:rPr>
          <w:bCs/>
        </w:rPr>
        <w:t>em</w:t>
      </w:r>
      <w:r w:rsidR="00517C27" w:rsidRPr="004E4024">
        <w:rPr>
          <w:bCs/>
        </w:rPr>
        <w:t xml:space="preserve"> todas as etapas de fabricação, apontando os tamanhos mínimo e máximo do</w:t>
      </w:r>
      <w:r w:rsidR="00B37123" w:rsidRPr="004E4024">
        <w:rPr>
          <w:bCs/>
        </w:rPr>
        <w:t xml:space="preserve"> </w:t>
      </w:r>
      <w:r w:rsidR="00CD5D36" w:rsidRPr="004E4024">
        <w:t xml:space="preserve">Pool de Plasma </w:t>
      </w:r>
      <w:proofErr w:type="spellStart"/>
      <w:r w:rsidR="00CD5D36" w:rsidRPr="004E4024">
        <w:t>Hiperimune</w:t>
      </w:r>
      <w:proofErr w:type="spellEnd"/>
      <w:r w:rsidR="00CD5D36" w:rsidRPr="004E4024" w:rsidDel="00CD5D36">
        <w:rPr>
          <w:bCs/>
        </w:rPr>
        <w:t xml:space="preserve"> </w:t>
      </w:r>
      <w:r w:rsidR="00B37123" w:rsidRPr="004E4024">
        <w:rPr>
          <w:bCs/>
        </w:rPr>
        <w:t>e do</w:t>
      </w:r>
      <w:r w:rsidR="00517C27" w:rsidRPr="004E4024">
        <w:rPr>
          <w:bCs/>
        </w:rPr>
        <w:t xml:space="preserve"> lote industrial a ser produzido para comercialização;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g</w:t>
      </w:r>
      <w:r w:rsidR="00517C27" w:rsidRPr="004E4024">
        <w:rPr>
          <w:bCs/>
        </w:rPr>
        <w:t>) descrição e justificativas para mudanças efetuadas no processo</w:t>
      </w:r>
      <w:r w:rsidR="007E6513" w:rsidRPr="004E4024">
        <w:rPr>
          <w:bCs/>
        </w:rPr>
        <w:t xml:space="preserve"> de </w:t>
      </w:r>
      <w:r w:rsidR="00EE0941" w:rsidRPr="004E4024">
        <w:rPr>
          <w:bCs/>
        </w:rPr>
        <w:t>produção, durante o desenvolvimento do produto</w:t>
      </w:r>
      <w:r w:rsidR="00185E42" w:rsidRPr="004E4024">
        <w:rPr>
          <w:bCs/>
        </w:rPr>
        <w:t>;</w:t>
      </w:r>
    </w:p>
    <w:p w:rsidR="004E4024" w:rsidRDefault="008A431B" w:rsidP="004E4024">
      <w:pPr>
        <w:spacing w:after="200"/>
        <w:ind w:firstLine="567"/>
        <w:jc w:val="both"/>
      </w:pPr>
      <w:r w:rsidRPr="004E4024">
        <w:rPr>
          <w:bCs/>
        </w:rPr>
        <w:t>h</w:t>
      </w:r>
      <w:r w:rsidR="00185E42" w:rsidRPr="004E4024">
        <w:rPr>
          <w:bCs/>
        </w:rPr>
        <w:t xml:space="preserve">) </w:t>
      </w:r>
      <w:r w:rsidR="00EE0941" w:rsidRPr="004E4024">
        <w:t>relatório da validação dos procedimentos de remoção e/ou eliminação virais utilizados;</w:t>
      </w:r>
    </w:p>
    <w:p w:rsidR="004E4024" w:rsidRDefault="00EE0941" w:rsidP="004E4024">
      <w:pPr>
        <w:spacing w:after="200"/>
        <w:ind w:firstLine="567"/>
        <w:jc w:val="both"/>
      </w:pPr>
      <w:r w:rsidRPr="004E4024">
        <w:rPr>
          <w:bCs/>
        </w:rPr>
        <w:t xml:space="preserve">i) </w:t>
      </w:r>
      <w:r w:rsidRPr="004E4024">
        <w:t xml:space="preserve">relatório de validação das etapas críticas do processo de fabricação; </w:t>
      </w:r>
    </w:p>
    <w:p w:rsidR="004E4024" w:rsidRDefault="00EE0941" w:rsidP="004E4024">
      <w:pPr>
        <w:spacing w:after="200"/>
        <w:ind w:firstLine="567"/>
        <w:jc w:val="both"/>
      </w:pPr>
      <w:r w:rsidRPr="004E4024">
        <w:t xml:space="preserve">j) validação e justificativa para os </w:t>
      </w:r>
      <w:proofErr w:type="spellStart"/>
      <w:r w:rsidRPr="004E4024">
        <w:t>reprocessos</w:t>
      </w:r>
      <w:proofErr w:type="spellEnd"/>
      <w:r w:rsidRPr="004E4024">
        <w:t>;</w:t>
      </w:r>
    </w:p>
    <w:p w:rsidR="004E4024" w:rsidRDefault="00EE0941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k) </w:t>
      </w:r>
      <w:r w:rsidR="00185E42" w:rsidRPr="004E4024">
        <w:rPr>
          <w:bCs/>
        </w:rPr>
        <w:t xml:space="preserve">descrição do procedimento de preparação do </w:t>
      </w:r>
      <w:r w:rsidR="008243DE" w:rsidRPr="004E4024">
        <w:rPr>
          <w:bCs/>
        </w:rPr>
        <w:t>Material-Fonte</w:t>
      </w:r>
      <w:r w:rsidR="00185E42" w:rsidRPr="004E4024">
        <w:rPr>
          <w:bCs/>
        </w:rPr>
        <w:t xml:space="preserve"> para a inoculação no animal utilizado na produção de plasma </w:t>
      </w:r>
      <w:proofErr w:type="spellStart"/>
      <w:r w:rsidR="00185E42" w:rsidRPr="004E4024">
        <w:rPr>
          <w:bCs/>
        </w:rPr>
        <w:t>hiperimune</w:t>
      </w:r>
      <w:proofErr w:type="spellEnd"/>
      <w:r w:rsidR="00185E42" w:rsidRPr="004E4024">
        <w:rPr>
          <w:bCs/>
        </w:rPr>
        <w:t xml:space="preserve">; 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l</w:t>
      </w:r>
      <w:r w:rsidR="00D75DA7" w:rsidRPr="004E4024">
        <w:rPr>
          <w:bCs/>
        </w:rPr>
        <w:t>) descrição do plano de imunização</w:t>
      </w:r>
      <w:r w:rsidRPr="004E4024">
        <w:rPr>
          <w:bCs/>
        </w:rPr>
        <w:t>,</w:t>
      </w:r>
      <w:r w:rsidR="00D75DA7" w:rsidRPr="004E4024">
        <w:rPr>
          <w:bCs/>
        </w:rPr>
        <w:t xml:space="preserve"> incluindo</w:t>
      </w:r>
      <w:r w:rsidRPr="004E4024">
        <w:rPr>
          <w:bCs/>
        </w:rPr>
        <w:t>,</w:t>
      </w:r>
      <w:r w:rsidR="00D75DA7" w:rsidRPr="004E4024">
        <w:rPr>
          <w:bCs/>
        </w:rPr>
        <w:t xml:space="preserve"> no mínimo</w:t>
      </w:r>
      <w:r w:rsidRPr="004E4024">
        <w:rPr>
          <w:bCs/>
        </w:rPr>
        <w:t>,</w:t>
      </w:r>
      <w:r w:rsidR="00D75DA7" w:rsidRPr="004E4024">
        <w:rPr>
          <w:bCs/>
        </w:rPr>
        <w:t xml:space="preserve"> as seguintes informações: local d</w:t>
      </w:r>
      <w:r w:rsidRPr="004E4024">
        <w:rPr>
          <w:bCs/>
        </w:rPr>
        <w:t>e</w:t>
      </w:r>
      <w:r w:rsidR="00D75DA7" w:rsidRPr="004E4024">
        <w:rPr>
          <w:bCs/>
        </w:rPr>
        <w:t xml:space="preserve"> injeção do </w:t>
      </w:r>
      <w:r w:rsidR="008243DE" w:rsidRPr="004E4024">
        <w:rPr>
          <w:bCs/>
        </w:rPr>
        <w:t>Material-Fonte</w:t>
      </w:r>
      <w:r w:rsidR="00D75DA7" w:rsidRPr="004E4024">
        <w:rPr>
          <w:bCs/>
        </w:rPr>
        <w:t xml:space="preserve">, frequência da imunização, adjuvante utilizado (se </w:t>
      </w:r>
      <w:r w:rsidR="009B3D37" w:rsidRPr="004E4024">
        <w:rPr>
          <w:bCs/>
        </w:rPr>
        <w:t>aplicável</w:t>
      </w:r>
      <w:r w:rsidR="00D75DA7" w:rsidRPr="004E4024">
        <w:rPr>
          <w:bCs/>
        </w:rPr>
        <w:t>)</w:t>
      </w:r>
      <w:r w:rsidRPr="004E4024">
        <w:rPr>
          <w:bCs/>
        </w:rPr>
        <w:t>, e</w:t>
      </w:r>
      <w:r w:rsidR="00D75DA7" w:rsidRPr="004E4024">
        <w:rPr>
          <w:bCs/>
        </w:rPr>
        <w:t xml:space="preserve"> período de descanso</w:t>
      </w:r>
      <w:r w:rsidRPr="004E4024">
        <w:rPr>
          <w:bCs/>
        </w:rPr>
        <w:t>; e</w:t>
      </w:r>
    </w:p>
    <w:p w:rsidR="004E4024" w:rsidRDefault="008A431B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m</w:t>
      </w:r>
      <w:r w:rsidR="00AE29BA" w:rsidRPr="004E4024">
        <w:rPr>
          <w:bCs/>
        </w:rPr>
        <w:t xml:space="preserve">) descrição do procedimento de sangria do animal utilizado na produção de plasma </w:t>
      </w:r>
      <w:proofErr w:type="spellStart"/>
      <w:r w:rsidR="00AE29BA" w:rsidRPr="004E4024">
        <w:rPr>
          <w:bCs/>
        </w:rPr>
        <w:t>hiperimune</w:t>
      </w:r>
      <w:proofErr w:type="spellEnd"/>
      <w:r w:rsidR="00273810" w:rsidRPr="004E4024">
        <w:rPr>
          <w:bCs/>
        </w:rPr>
        <w:t>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VI – Informações sobre o controle de qualidade: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a) lista e descrição de todos os testes de controle de qualidade realizados, desde</w:t>
      </w:r>
      <w:r w:rsidR="00861B6E" w:rsidRPr="004E4024">
        <w:rPr>
          <w:bCs/>
        </w:rPr>
        <w:t xml:space="preserve"> o</w:t>
      </w:r>
      <w:r w:rsidRPr="004E4024">
        <w:rPr>
          <w:bCs/>
        </w:rPr>
        <w:t xml:space="preserve"> </w:t>
      </w:r>
      <w:r w:rsidR="008243DE" w:rsidRPr="004E4024">
        <w:rPr>
          <w:bCs/>
        </w:rPr>
        <w:t>Material-Fonte</w:t>
      </w:r>
      <w:r w:rsidRPr="004E4024">
        <w:rPr>
          <w:bCs/>
        </w:rPr>
        <w:t xml:space="preserve"> até o </w:t>
      </w:r>
      <w:r w:rsidR="009A290D" w:rsidRPr="004E4024">
        <w:rPr>
          <w:bCs/>
        </w:rPr>
        <w:t>Produto Terminado</w:t>
      </w:r>
      <w:r w:rsidRPr="004E4024">
        <w:rPr>
          <w:bCs/>
        </w:rPr>
        <w:t>, acompanhad</w:t>
      </w:r>
      <w:r w:rsidR="00861B6E" w:rsidRPr="004E4024">
        <w:rPr>
          <w:bCs/>
        </w:rPr>
        <w:t>a</w:t>
      </w:r>
      <w:r w:rsidRPr="004E4024">
        <w:rPr>
          <w:bCs/>
        </w:rPr>
        <w:t>s dos respectivos limites de especificação</w:t>
      </w:r>
      <w:r w:rsidR="00185E42" w:rsidRPr="004E4024">
        <w:rPr>
          <w:bCs/>
        </w:rPr>
        <w:t>;</w:t>
      </w:r>
      <w:r w:rsidR="006470D6" w:rsidRPr="004E4024">
        <w:rPr>
          <w:bCs/>
        </w:rPr>
        <w:t xml:space="preserve"> </w:t>
      </w:r>
    </w:p>
    <w:p w:rsidR="004E4024" w:rsidRDefault="00F7079F" w:rsidP="004E4024">
      <w:pPr>
        <w:spacing w:after="200"/>
        <w:ind w:firstLine="567"/>
        <w:jc w:val="both"/>
      </w:pPr>
      <w:r w:rsidRPr="004E4024">
        <w:rPr>
          <w:bCs/>
        </w:rPr>
        <w:t>b</w:t>
      </w:r>
      <w:r w:rsidR="006470D6" w:rsidRPr="004E4024">
        <w:rPr>
          <w:bCs/>
        </w:rPr>
        <w:t xml:space="preserve">) </w:t>
      </w:r>
      <w:r w:rsidR="00861B6E" w:rsidRPr="004E4024">
        <w:t>descrição dos padrões de referência utilizados;</w:t>
      </w:r>
    </w:p>
    <w:p w:rsidR="004E4024" w:rsidRDefault="00861B6E" w:rsidP="004E4024">
      <w:pPr>
        <w:spacing w:after="200"/>
        <w:ind w:firstLine="567"/>
        <w:jc w:val="both"/>
      </w:pPr>
      <w:r w:rsidRPr="004E4024">
        <w:rPr>
          <w:bCs/>
        </w:rPr>
        <w:t xml:space="preserve">c) </w:t>
      </w:r>
      <w:r w:rsidRPr="004E4024">
        <w:t>validação de metodologias analíticas</w:t>
      </w:r>
      <w:r w:rsidR="009B3D37" w:rsidRPr="004E4024">
        <w:t>,</w:t>
      </w:r>
      <w:r w:rsidRPr="004E4024">
        <w:t xml:space="preserve"> </w:t>
      </w:r>
      <w:r w:rsidR="009B3D37" w:rsidRPr="004E4024">
        <w:t>observadas</w:t>
      </w:r>
      <w:r w:rsidRPr="004E4024">
        <w:t xml:space="preserve"> </w:t>
      </w:r>
      <w:r w:rsidR="005767D1" w:rsidRPr="004E4024">
        <w:t xml:space="preserve">as </w:t>
      </w:r>
      <w:r w:rsidR="008443F0" w:rsidRPr="004E4024">
        <w:t xml:space="preserve">Resoluções </w:t>
      </w:r>
      <w:r w:rsidR="009B3D37" w:rsidRPr="004E4024">
        <w:t>da Diretoria Colegiada</w:t>
      </w:r>
      <w:r w:rsidR="008443F0" w:rsidRPr="004E4024">
        <w:t xml:space="preserve"> vigentes que </w:t>
      </w:r>
      <w:r w:rsidR="009B3D37" w:rsidRPr="004E4024">
        <w:t xml:space="preserve">abordem </w:t>
      </w:r>
      <w:r w:rsidR="008443F0" w:rsidRPr="004E4024">
        <w:t>o tema</w:t>
      </w:r>
      <w:r w:rsidRPr="004E4024">
        <w:t>;</w:t>
      </w:r>
    </w:p>
    <w:p w:rsidR="004E4024" w:rsidRDefault="00861B6E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d) referência e justificativa para cada especificação determinada nos testes de controle de qualidade, incluindo nos testes para agentes adventícios, quando aplicável;</w:t>
      </w:r>
    </w:p>
    <w:p w:rsidR="004E4024" w:rsidRDefault="00861B6E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e) </w:t>
      </w:r>
      <w:r w:rsidR="002B3348" w:rsidRPr="004E4024">
        <w:rPr>
          <w:bCs/>
        </w:rPr>
        <w:t xml:space="preserve">lista e </w:t>
      </w:r>
      <w:r w:rsidR="006470D6" w:rsidRPr="004E4024">
        <w:rPr>
          <w:bCs/>
        </w:rPr>
        <w:t xml:space="preserve">descrição dos testes </w:t>
      </w:r>
      <w:r w:rsidR="00872E70" w:rsidRPr="004E4024">
        <w:rPr>
          <w:bCs/>
        </w:rPr>
        <w:t>realizados no</w:t>
      </w:r>
      <w:r w:rsidR="006470D6" w:rsidRPr="004E4024">
        <w:rPr>
          <w:bCs/>
        </w:rPr>
        <w:t xml:space="preserve"> </w:t>
      </w:r>
      <w:r w:rsidR="008243DE" w:rsidRPr="004E4024">
        <w:rPr>
          <w:bCs/>
        </w:rPr>
        <w:t xml:space="preserve">Plasma </w:t>
      </w:r>
      <w:proofErr w:type="spellStart"/>
      <w:r w:rsidR="008243DE" w:rsidRPr="004E4024">
        <w:rPr>
          <w:bCs/>
        </w:rPr>
        <w:t>Hiperimune</w:t>
      </w:r>
      <w:proofErr w:type="spellEnd"/>
      <w:r w:rsidR="008243DE" w:rsidRPr="004E4024">
        <w:rPr>
          <w:bCs/>
        </w:rPr>
        <w:t xml:space="preserve"> Individual</w:t>
      </w:r>
      <w:r w:rsidR="006470D6" w:rsidRPr="004E4024">
        <w:rPr>
          <w:bCs/>
        </w:rPr>
        <w:t>;</w:t>
      </w:r>
    </w:p>
    <w:p w:rsidR="004E4024" w:rsidRDefault="002B3348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f) referência e justificativa para cada especificação determinada nos testes </w:t>
      </w:r>
      <w:r w:rsidR="00872E70" w:rsidRPr="004E4024">
        <w:rPr>
          <w:bCs/>
        </w:rPr>
        <w:t>realizados no</w:t>
      </w:r>
      <w:r w:rsidR="008074D1" w:rsidRPr="004E4024">
        <w:rPr>
          <w:bCs/>
        </w:rPr>
        <w:t xml:space="preserve"> </w:t>
      </w:r>
      <w:r w:rsidR="008243DE" w:rsidRPr="004E4024">
        <w:rPr>
          <w:bCs/>
        </w:rPr>
        <w:t xml:space="preserve">Plasma </w:t>
      </w:r>
      <w:proofErr w:type="spellStart"/>
      <w:r w:rsidR="008243DE" w:rsidRPr="004E4024">
        <w:rPr>
          <w:bCs/>
        </w:rPr>
        <w:t>Hiperimune</w:t>
      </w:r>
      <w:proofErr w:type="spellEnd"/>
      <w:r w:rsidR="008243DE" w:rsidRPr="004E4024">
        <w:rPr>
          <w:bCs/>
        </w:rPr>
        <w:t xml:space="preserve"> Individual</w:t>
      </w:r>
      <w:r w:rsidRPr="004E4024">
        <w:rPr>
          <w:bCs/>
        </w:rPr>
        <w:t>;</w:t>
      </w:r>
    </w:p>
    <w:p w:rsidR="004E4024" w:rsidRDefault="008074D1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g</w:t>
      </w:r>
      <w:r w:rsidR="00517C27" w:rsidRPr="004E4024">
        <w:rPr>
          <w:bCs/>
        </w:rPr>
        <w:t>)</w:t>
      </w:r>
      <w:r w:rsidRPr="004E4024">
        <w:rPr>
          <w:bCs/>
        </w:rPr>
        <w:t xml:space="preserve"> lista e descrição dos testes </w:t>
      </w:r>
      <w:r w:rsidR="00872E70" w:rsidRPr="004E4024">
        <w:rPr>
          <w:bCs/>
        </w:rPr>
        <w:t>realizados nos</w:t>
      </w:r>
      <w:r w:rsidRPr="004E4024">
        <w:rPr>
          <w:bCs/>
        </w:rPr>
        <w:t xml:space="preserve"> </w:t>
      </w:r>
      <w:r w:rsidR="00CD5D36" w:rsidRPr="004E4024">
        <w:t xml:space="preserve">Pools de Plasma </w:t>
      </w:r>
      <w:proofErr w:type="spellStart"/>
      <w:r w:rsidR="00CD5D36" w:rsidRPr="004E4024">
        <w:t>Hiperimune</w:t>
      </w:r>
      <w:proofErr w:type="spellEnd"/>
      <w:r w:rsidR="00CD5D36" w:rsidRPr="004E4024" w:rsidDel="00CD5D36">
        <w:rPr>
          <w:bCs/>
        </w:rPr>
        <w:t xml:space="preserve"> </w:t>
      </w:r>
      <w:r w:rsidRPr="004E4024">
        <w:rPr>
          <w:bCs/>
        </w:rPr>
        <w:t>obtidos pela sangria dos animais</w:t>
      </w:r>
      <w:r w:rsidR="00872E70" w:rsidRPr="004E4024">
        <w:rPr>
          <w:bCs/>
        </w:rPr>
        <w:t>, quando aplicável</w:t>
      </w:r>
      <w:r w:rsidRPr="004E4024">
        <w:rPr>
          <w:bCs/>
        </w:rPr>
        <w:t>;</w:t>
      </w:r>
      <w:r w:rsidR="00517C27" w:rsidRPr="004E4024">
        <w:rPr>
          <w:bCs/>
        </w:rPr>
        <w:t xml:space="preserve"> </w:t>
      </w:r>
    </w:p>
    <w:p w:rsidR="004E4024" w:rsidRDefault="008074D1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lastRenderedPageBreak/>
        <w:t xml:space="preserve">h) </w:t>
      </w:r>
      <w:r w:rsidR="008A20C6" w:rsidRPr="004E4024">
        <w:rPr>
          <w:bCs/>
        </w:rPr>
        <w:t xml:space="preserve">referência e justificativa para cada </w:t>
      </w:r>
      <w:r w:rsidR="00517C27" w:rsidRPr="004E4024">
        <w:rPr>
          <w:bCs/>
        </w:rPr>
        <w:t>especificaç</w:t>
      </w:r>
      <w:r w:rsidR="008A20C6" w:rsidRPr="004E4024">
        <w:rPr>
          <w:bCs/>
        </w:rPr>
        <w:t>ão determinada</w:t>
      </w:r>
      <w:r w:rsidR="00517C27" w:rsidRPr="004E4024">
        <w:rPr>
          <w:bCs/>
        </w:rPr>
        <w:t xml:space="preserve"> </w:t>
      </w:r>
      <w:r w:rsidR="008A20C6" w:rsidRPr="004E4024">
        <w:rPr>
          <w:bCs/>
        </w:rPr>
        <w:t xml:space="preserve">nos testes </w:t>
      </w:r>
      <w:r w:rsidR="00872E70" w:rsidRPr="004E4024">
        <w:rPr>
          <w:bCs/>
        </w:rPr>
        <w:t>realizados nos</w:t>
      </w:r>
      <w:r w:rsidR="00517C27" w:rsidRPr="004E4024">
        <w:rPr>
          <w:bCs/>
        </w:rPr>
        <w:t xml:space="preserve"> </w:t>
      </w:r>
      <w:r w:rsidR="00CD5D36" w:rsidRPr="004E4024">
        <w:t xml:space="preserve">Pools de Plasma </w:t>
      </w:r>
      <w:proofErr w:type="spellStart"/>
      <w:r w:rsidR="00CD5D36" w:rsidRPr="004E4024">
        <w:t>Hiperimune</w:t>
      </w:r>
      <w:proofErr w:type="spellEnd"/>
      <w:r w:rsidR="00A9368B" w:rsidRPr="004E4024">
        <w:rPr>
          <w:bCs/>
        </w:rPr>
        <w:t xml:space="preserve"> </w:t>
      </w:r>
      <w:r w:rsidR="00D75DA7" w:rsidRPr="004E4024">
        <w:rPr>
          <w:bCs/>
        </w:rPr>
        <w:t>obtidos pela sangria dos animais</w:t>
      </w:r>
      <w:r w:rsidR="00872E70" w:rsidRPr="004E4024">
        <w:rPr>
          <w:bCs/>
        </w:rPr>
        <w:t>, quando aplicável</w:t>
      </w:r>
      <w:r w:rsidR="00A852D4" w:rsidRPr="004E4024">
        <w:rPr>
          <w:bCs/>
        </w:rPr>
        <w:t>; e</w:t>
      </w:r>
    </w:p>
    <w:p w:rsidR="004E4024" w:rsidRDefault="00A852D4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i) </w:t>
      </w:r>
      <w:r w:rsidRPr="004E4024">
        <w:t>metodologias de análise adotadas pelo importador.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VII – </w:t>
      </w:r>
      <w:r w:rsidR="00E251A9" w:rsidRPr="004E4024">
        <w:rPr>
          <w:bCs/>
        </w:rPr>
        <w:t>D</w:t>
      </w:r>
      <w:r w:rsidRPr="004E4024">
        <w:rPr>
          <w:bCs/>
        </w:rPr>
        <w:t>escrição dos cuidados de armazena</w:t>
      </w:r>
      <w:r w:rsidR="00B73517" w:rsidRPr="004E4024">
        <w:rPr>
          <w:bCs/>
        </w:rPr>
        <w:t>mento</w:t>
      </w:r>
      <w:r w:rsidRPr="004E4024">
        <w:rPr>
          <w:bCs/>
        </w:rPr>
        <w:t xml:space="preserve"> do </w:t>
      </w:r>
      <w:r w:rsidR="008243DE" w:rsidRPr="004E4024">
        <w:rPr>
          <w:bCs/>
        </w:rPr>
        <w:t>Material-Fonte</w:t>
      </w:r>
      <w:r w:rsidR="002F3641" w:rsidRPr="004E4024">
        <w:rPr>
          <w:bCs/>
        </w:rPr>
        <w:t xml:space="preserve">, do </w:t>
      </w:r>
      <w:r w:rsidR="008243DE" w:rsidRPr="004E4024">
        <w:rPr>
          <w:bCs/>
        </w:rPr>
        <w:t>Princípio Ativo</w:t>
      </w:r>
      <w:r w:rsidRPr="004E4024">
        <w:rPr>
          <w:bCs/>
        </w:rPr>
        <w:t>,</w:t>
      </w:r>
      <w:r w:rsidR="00F0765F" w:rsidRPr="004E4024">
        <w:rPr>
          <w:bCs/>
        </w:rPr>
        <w:t xml:space="preserve"> do </w:t>
      </w:r>
      <w:r w:rsidR="009A290D" w:rsidRPr="004E4024">
        <w:rPr>
          <w:bCs/>
        </w:rPr>
        <w:t>Produto a Granel</w:t>
      </w:r>
      <w:r w:rsidR="00F0765F" w:rsidRPr="004E4024">
        <w:rPr>
          <w:bCs/>
        </w:rPr>
        <w:t>,</w:t>
      </w:r>
      <w:r w:rsidRPr="004E4024">
        <w:rPr>
          <w:bCs/>
        </w:rPr>
        <w:t xml:space="preserve"> </w:t>
      </w:r>
      <w:r w:rsidR="00F64EB7" w:rsidRPr="004E4024">
        <w:rPr>
          <w:bCs/>
        </w:rPr>
        <w:t>do</w:t>
      </w:r>
      <w:r w:rsidR="00F0765F" w:rsidRPr="004E4024">
        <w:rPr>
          <w:bCs/>
        </w:rPr>
        <w:t xml:space="preserve"> </w:t>
      </w:r>
      <w:r w:rsidR="009A290D" w:rsidRPr="004E4024">
        <w:rPr>
          <w:bCs/>
        </w:rPr>
        <w:t>Produto Intermediário</w:t>
      </w:r>
      <w:r w:rsidR="00F64EB7" w:rsidRPr="004E4024">
        <w:rPr>
          <w:bCs/>
        </w:rPr>
        <w:t>,</w:t>
      </w:r>
      <w:r w:rsidR="00F0765F" w:rsidRPr="004E4024">
        <w:rPr>
          <w:bCs/>
        </w:rPr>
        <w:t xml:space="preserve"> do </w:t>
      </w:r>
      <w:r w:rsidR="009A290D" w:rsidRPr="004E4024">
        <w:rPr>
          <w:bCs/>
        </w:rPr>
        <w:t>Produto em sua Embalagem Primária</w:t>
      </w:r>
      <w:r w:rsidR="00F0765F" w:rsidRPr="004E4024">
        <w:rPr>
          <w:bCs/>
        </w:rPr>
        <w:t xml:space="preserve">, do </w:t>
      </w:r>
      <w:r w:rsidR="009A290D" w:rsidRPr="004E4024">
        <w:rPr>
          <w:bCs/>
        </w:rPr>
        <w:t>Produto Terminado</w:t>
      </w:r>
      <w:r w:rsidR="00B73517" w:rsidRPr="004E4024">
        <w:rPr>
          <w:bCs/>
        </w:rPr>
        <w:t xml:space="preserve"> e</w:t>
      </w:r>
      <w:r w:rsidR="00F0765F" w:rsidRPr="004E4024">
        <w:rPr>
          <w:bCs/>
        </w:rPr>
        <w:t xml:space="preserve"> do diluente</w:t>
      </w:r>
      <w:r w:rsidR="00F64EB7" w:rsidRPr="004E4024">
        <w:rPr>
          <w:bCs/>
        </w:rPr>
        <w:t>.</w:t>
      </w:r>
    </w:p>
    <w:p w:rsidR="004E4024" w:rsidRDefault="00F469BD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VIII</w:t>
      </w:r>
      <w:r w:rsidR="00517C27" w:rsidRPr="004E4024">
        <w:rPr>
          <w:bCs/>
        </w:rPr>
        <w:t xml:space="preserve"> – </w:t>
      </w:r>
      <w:r w:rsidR="00E251A9" w:rsidRPr="004E4024">
        <w:rPr>
          <w:bCs/>
        </w:rPr>
        <w:t>D</w:t>
      </w:r>
      <w:r w:rsidR="00517C27" w:rsidRPr="004E4024">
        <w:rPr>
          <w:bCs/>
        </w:rPr>
        <w:t xml:space="preserve">escrição dos recipientes e formas de acondicionamento </w:t>
      </w:r>
      <w:r w:rsidR="002F3641" w:rsidRPr="004E4024">
        <w:rPr>
          <w:bCs/>
        </w:rPr>
        <w:t xml:space="preserve">do </w:t>
      </w:r>
      <w:r w:rsidR="008243DE" w:rsidRPr="004E4024">
        <w:rPr>
          <w:bCs/>
        </w:rPr>
        <w:t>Material-Fonte</w:t>
      </w:r>
      <w:r w:rsidR="002F3641" w:rsidRPr="004E4024">
        <w:rPr>
          <w:bCs/>
        </w:rPr>
        <w:t xml:space="preserve">, do </w:t>
      </w:r>
      <w:r w:rsidR="008243DE" w:rsidRPr="004E4024">
        <w:rPr>
          <w:bCs/>
        </w:rPr>
        <w:t>Princípio Ativo</w:t>
      </w:r>
      <w:r w:rsidR="002F3641" w:rsidRPr="004E4024">
        <w:rPr>
          <w:bCs/>
        </w:rPr>
        <w:t>,</w:t>
      </w:r>
      <w:r w:rsidR="00F64EB7" w:rsidRPr="004E4024">
        <w:rPr>
          <w:bCs/>
        </w:rPr>
        <w:t xml:space="preserve"> do</w:t>
      </w:r>
      <w:r w:rsidR="00AF6319" w:rsidRPr="004E4024">
        <w:rPr>
          <w:bCs/>
        </w:rPr>
        <w:t xml:space="preserve"> </w:t>
      </w:r>
      <w:r w:rsidR="009A290D" w:rsidRPr="004E4024">
        <w:rPr>
          <w:bCs/>
        </w:rPr>
        <w:t>Produto a Granel</w:t>
      </w:r>
      <w:r w:rsidR="00AF6319" w:rsidRPr="004E4024">
        <w:rPr>
          <w:bCs/>
        </w:rPr>
        <w:t xml:space="preserve">, do </w:t>
      </w:r>
      <w:r w:rsidR="009A290D" w:rsidRPr="004E4024">
        <w:rPr>
          <w:bCs/>
        </w:rPr>
        <w:t>Produto Intermediário</w:t>
      </w:r>
      <w:r w:rsidR="00F64EB7" w:rsidRPr="004E4024">
        <w:rPr>
          <w:bCs/>
        </w:rPr>
        <w:t>,</w:t>
      </w:r>
      <w:r w:rsidR="002F3641" w:rsidRPr="004E4024">
        <w:rPr>
          <w:bCs/>
        </w:rPr>
        <w:t xml:space="preserve"> do </w:t>
      </w:r>
      <w:r w:rsidR="009A290D" w:rsidRPr="004E4024">
        <w:rPr>
          <w:bCs/>
        </w:rPr>
        <w:t>Produto em sua Embalagem Primária</w:t>
      </w:r>
      <w:r w:rsidR="00AF6319" w:rsidRPr="004E4024">
        <w:rPr>
          <w:bCs/>
        </w:rPr>
        <w:t xml:space="preserve">, </w:t>
      </w:r>
      <w:r w:rsidR="002F3641" w:rsidRPr="004E4024">
        <w:rPr>
          <w:bCs/>
        </w:rPr>
        <w:t xml:space="preserve">do </w:t>
      </w:r>
      <w:r w:rsidR="009A290D" w:rsidRPr="004E4024">
        <w:rPr>
          <w:bCs/>
        </w:rPr>
        <w:t>Produto Terminado</w:t>
      </w:r>
      <w:r w:rsidR="00AF6319" w:rsidRPr="004E4024">
        <w:rPr>
          <w:bCs/>
        </w:rPr>
        <w:t>, do diluente e do adjuvante</w:t>
      </w:r>
      <w:r w:rsidR="00200693" w:rsidRPr="004E4024">
        <w:rPr>
          <w:bCs/>
        </w:rPr>
        <w:t>, bem como das</w:t>
      </w:r>
      <w:r w:rsidR="005767D1" w:rsidRPr="004E4024">
        <w:rPr>
          <w:bCs/>
        </w:rPr>
        <w:t xml:space="preserve"> </w:t>
      </w:r>
      <w:r w:rsidR="00517C27" w:rsidRPr="004E4024">
        <w:rPr>
          <w:bCs/>
        </w:rPr>
        <w:t>condições a serem mantidas para garantir a qualidade do</w:t>
      </w:r>
      <w:r w:rsidR="00AF6319" w:rsidRPr="004E4024">
        <w:rPr>
          <w:bCs/>
        </w:rPr>
        <w:t>s</w:t>
      </w:r>
      <w:r w:rsidR="00517C27" w:rsidRPr="004E4024">
        <w:rPr>
          <w:bCs/>
        </w:rPr>
        <w:t xml:space="preserve"> produto</w:t>
      </w:r>
      <w:r w:rsidR="00AF6319" w:rsidRPr="004E4024">
        <w:rPr>
          <w:bCs/>
        </w:rPr>
        <w:t>s.</w:t>
      </w:r>
    </w:p>
    <w:p w:rsidR="004E4024" w:rsidRDefault="00164D0B" w:rsidP="004E4024">
      <w:pPr>
        <w:spacing w:after="200"/>
        <w:ind w:firstLine="567"/>
        <w:jc w:val="both"/>
      </w:pPr>
      <w:r w:rsidRPr="004E4024">
        <w:t>I</w:t>
      </w:r>
      <w:r w:rsidR="000F2DE9" w:rsidRPr="004E4024">
        <w:t xml:space="preserve">X </w:t>
      </w:r>
      <w:r w:rsidR="00E251A9" w:rsidRPr="004E4024">
        <w:t>- V</w:t>
      </w:r>
      <w:r w:rsidR="000F2DE9" w:rsidRPr="004E4024">
        <w:t xml:space="preserve">alidação da cadeia de transporte: </w:t>
      </w:r>
    </w:p>
    <w:p w:rsidR="004E4024" w:rsidRDefault="000F2DE9" w:rsidP="004E4024">
      <w:pPr>
        <w:spacing w:after="200"/>
        <w:ind w:firstLine="567"/>
        <w:jc w:val="both"/>
      </w:pPr>
      <w:r w:rsidRPr="004E4024">
        <w:t xml:space="preserve">a) protocolos e relatórios das qualificações de operação e </w:t>
      </w:r>
      <w:r w:rsidR="00AF6319" w:rsidRPr="004E4024">
        <w:t xml:space="preserve">de </w:t>
      </w:r>
      <w:r w:rsidRPr="004E4024">
        <w:t>desempenho dos sistemas utilizados para o transporte</w:t>
      </w:r>
      <w:r w:rsidRPr="004E4024">
        <w:rPr>
          <w:bCs/>
        </w:rPr>
        <w:t xml:space="preserve"> </w:t>
      </w:r>
      <w:r w:rsidRPr="004E4024">
        <w:t xml:space="preserve">do </w:t>
      </w:r>
      <w:r w:rsidR="009A290D" w:rsidRPr="004E4024">
        <w:t>Produto Terminado</w:t>
      </w:r>
      <w:r w:rsidRPr="004E4024">
        <w:t xml:space="preserve"> e do diluente; e </w:t>
      </w:r>
    </w:p>
    <w:p w:rsidR="004E4024" w:rsidRDefault="000F2DE9" w:rsidP="004E4024">
      <w:pPr>
        <w:spacing w:after="200"/>
        <w:ind w:firstLine="567"/>
        <w:jc w:val="both"/>
      </w:pPr>
      <w:r w:rsidRPr="004E4024">
        <w:t>b) protocolo</w:t>
      </w:r>
      <w:r w:rsidR="00E251A9" w:rsidRPr="004E4024">
        <w:t>s</w:t>
      </w:r>
      <w:r w:rsidRPr="004E4024">
        <w:t xml:space="preserve"> e relatório</w:t>
      </w:r>
      <w:r w:rsidR="00E251A9" w:rsidRPr="004E4024">
        <w:t>s</w:t>
      </w:r>
      <w:r w:rsidRPr="004E4024">
        <w:t xml:space="preserve"> de qualificação de operação e </w:t>
      </w:r>
      <w:r w:rsidR="00E251A9" w:rsidRPr="004E4024">
        <w:t xml:space="preserve">de </w:t>
      </w:r>
      <w:r w:rsidRPr="004E4024">
        <w:t xml:space="preserve">desempenho do sistema a ser utilizado para o transporte do </w:t>
      </w:r>
      <w:r w:rsidR="009A290D" w:rsidRPr="004E4024">
        <w:t>Produto Terminado</w:t>
      </w:r>
      <w:r w:rsidRPr="004E4024">
        <w:t xml:space="preserve"> em território nacional</w:t>
      </w:r>
      <w:r w:rsidR="00E251A9" w:rsidRPr="004E4024">
        <w:t>.</w:t>
      </w:r>
    </w:p>
    <w:p w:rsidR="004E4024" w:rsidRDefault="00776EAE" w:rsidP="004E4024">
      <w:pPr>
        <w:spacing w:after="200"/>
        <w:ind w:firstLine="567"/>
        <w:jc w:val="both"/>
      </w:pPr>
      <w:r w:rsidRPr="004E4024">
        <w:t xml:space="preserve">X – Descrição das soluções, componentes e meios de cultura usados na fabricação do </w:t>
      </w:r>
      <w:r w:rsidR="00CD5D36" w:rsidRPr="004E4024">
        <w:t xml:space="preserve">Soro </w:t>
      </w:r>
      <w:proofErr w:type="spellStart"/>
      <w:r w:rsidR="00CD5D36" w:rsidRPr="004E4024">
        <w:t>Hiperimune</w:t>
      </w:r>
      <w:proofErr w:type="spellEnd"/>
      <w:r w:rsidRPr="004E4024">
        <w:t>.</w:t>
      </w:r>
    </w:p>
    <w:p w:rsidR="00517C27" w:rsidRP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</w:t>
      </w:r>
      <w:r w:rsidR="00776EAE" w:rsidRPr="004E4024">
        <w:rPr>
          <w:bCs/>
        </w:rPr>
        <w:t>I</w:t>
      </w:r>
      <w:r w:rsidRPr="004E4024">
        <w:rPr>
          <w:bCs/>
        </w:rPr>
        <w:t xml:space="preserve"> – </w:t>
      </w:r>
      <w:r w:rsidR="00336B6F" w:rsidRPr="004E4024">
        <w:rPr>
          <w:bCs/>
        </w:rPr>
        <w:t>I</w:t>
      </w:r>
      <w:r w:rsidRPr="004E4024">
        <w:rPr>
          <w:bCs/>
        </w:rPr>
        <w:t>nformações sobre os excipientes:</w:t>
      </w:r>
    </w:p>
    <w:p w:rsidR="004E4024" w:rsidRDefault="00694B5B" w:rsidP="004E4024">
      <w:pPr>
        <w:spacing w:after="200"/>
        <w:ind w:firstLine="567"/>
        <w:jc w:val="both"/>
      </w:pPr>
      <w:r w:rsidRPr="004E4024">
        <w:t>a) descrição das propriedades físico-químicas</w:t>
      </w:r>
      <w:r w:rsidR="00B73517" w:rsidRPr="004E4024">
        <w:t xml:space="preserve">, </w:t>
      </w:r>
      <w:r w:rsidRPr="004E4024">
        <w:t>microbiológicas</w:t>
      </w:r>
      <w:r w:rsidR="00776EAE" w:rsidRPr="004E4024">
        <w:t xml:space="preserve"> e demais controles de qualidade</w:t>
      </w:r>
      <w:r w:rsidRPr="004E4024">
        <w:t>;</w:t>
      </w:r>
    </w:p>
    <w:p w:rsidR="004E4024" w:rsidRDefault="00694B5B" w:rsidP="004E4024">
      <w:pPr>
        <w:spacing w:after="200"/>
        <w:ind w:firstLine="567"/>
        <w:jc w:val="both"/>
      </w:pPr>
      <w:r w:rsidRPr="004E4024">
        <w:t xml:space="preserve">b) especificações dos excipientes; </w:t>
      </w:r>
    </w:p>
    <w:p w:rsidR="004E4024" w:rsidRDefault="00B73517" w:rsidP="004E4024">
      <w:pPr>
        <w:spacing w:after="200"/>
        <w:ind w:firstLine="567"/>
        <w:jc w:val="both"/>
      </w:pPr>
      <w:r w:rsidRPr="004E4024">
        <w:t>c</w:t>
      </w:r>
      <w:r w:rsidR="00694B5B" w:rsidRPr="004E4024">
        <w:t xml:space="preserve">) descrição de possíveis interações químicas dos excipientes com </w:t>
      </w:r>
      <w:r w:rsidR="00776EAE" w:rsidRPr="004E4024">
        <w:t xml:space="preserve">o </w:t>
      </w:r>
      <w:r w:rsidR="008243DE" w:rsidRPr="004E4024">
        <w:t>Princípio Ativo</w:t>
      </w:r>
      <w:r w:rsidRPr="004E4024">
        <w:t>; e</w:t>
      </w:r>
    </w:p>
    <w:p w:rsidR="004E4024" w:rsidRDefault="00B73517" w:rsidP="004E4024">
      <w:pPr>
        <w:spacing w:after="200"/>
        <w:ind w:firstLine="567"/>
        <w:jc w:val="both"/>
      </w:pPr>
      <w:r w:rsidRPr="004E4024">
        <w:t>d</w:t>
      </w:r>
      <w:r w:rsidR="00694B5B" w:rsidRPr="004E4024">
        <w:t>) estudo demonstrando a eficácia do conservante utilizado, para aqueles produtos que contenham algum conservante em sua formulação final.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X</w:t>
      </w:r>
      <w:r w:rsidR="00F469BD" w:rsidRPr="004E4024">
        <w:rPr>
          <w:bCs/>
        </w:rPr>
        <w:t>I</w:t>
      </w:r>
      <w:r w:rsidR="00776EAE" w:rsidRPr="004E4024">
        <w:rPr>
          <w:bCs/>
        </w:rPr>
        <w:t>I</w:t>
      </w:r>
      <w:r w:rsidRPr="004E4024">
        <w:rPr>
          <w:bCs/>
        </w:rPr>
        <w:t xml:space="preserve"> </w:t>
      </w:r>
      <w:r w:rsidR="00776EAE" w:rsidRPr="004E4024">
        <w:rPr>
          <w:bCs/>
        </w:rPr>
        <w:t>–</w:t>
      </w:r>
      <w:r w:rsidRPr="004E4024">
        <w:rPr>
          <w:bCs/>
        </w:rPr>
        <w:t xml:space="preserve"> </w:t>
      </w:r>
      <w:r w:rsidR="00776EAE" w:rsidRPr="004E4024">
        <w:rPr>
          <w:bCs/>
        </w:rPr>
        <w:t xml:space="preserve">Protocolo e </w:t>
      </w:r>
      <w:r w:rsidR="00B73517" w:rsidRPr="004E4024">
        <w:rPr>
          <w:bCs/>
        </w:rPr>
        <w:t>r</w:t>
      </w:r>
      <w:r w:rsidRPr="004E4024">
        <w:rPr>
          <w:bCs/>
        </w:rPr>
        <w:t xml:space="preserve">elatório dos estudos de estabilidade </w:t>
      </w:r>
      <w:r w:rsidR="002F3641" w:rsidRPr="004E4024">
        <w:rPr>
          <w:bCs/>
        </w:rPr>
        <w:t xml:space="preserve">de acordo com </w:t>
      </w:r>
      <w:r w:rsidR="00806DCC" w:rsidRPr="004E4024">
        <w:rPr>
          <w:bCs/>
        </w:rPr>
        <w:t>Resoluções específicas vigentes que abordam o tema</w:t>
      </w:r>
      <w:r w:rsidR="00776EAE" w:rsidRPr="004E4024">
        <w:rPr>
          <w:bCs/>
        </w:rPr>
        <w:t xml:space="preserve">. </w:t>
      </w:r>
    </w:p>
    <w:p w:rsidR="004E4024" w:rsidRDefault="004330C1" w:rsidP="004E4024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4E4024">
        <w:rPr>
          <w:color w:val="000000"/>
        </w:rPr>
        <w:t xml:space="preserve">XIII – Contaminantes e </w:t>
      </w:r>
      <w:r w:rsidR="008243DE" w:rsidRPr="004E4024">
        <w:rPr>
          <w:color w:val="000000"/>
        </w:rPr>
        <w:t>Impureza</w:t>
      </w:r>
      <w:r w:rsidRPr="004E4024">
        <w:rPr>
          <w:color w:val="000000"/>
        </w:rPr>
        <w:t xml:space="preserve">s: </w:t>
      </w:r>
    </w:p>
    <w:p w:rsidR="004E4024" w:rsidRDefault="004330C1" w:rsidP="004E4024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4E4024">
        <w:rPr>
          <w:color w:val="000000"/>
        </w:rPr>
        <w:t xml:space="preserve">a) caracterização dos </w:t>
      </w:r>
      <w:r w:rsidR="00646FDB" w:rsidRPr="004E4024">
        <w:rPr>
          <w:color w:val="000000"/>
        </w:rPr>
        <w:t xml:space="preserve">Contaminantes </w:t>
      </w:r>
      <w:r w:rsidRPr="004E4024">
        <w:rPr>
          <w:color w:val="000000"/>
        </w:rPr>
        <w:t xml:space="preserve">e </w:t>
      </w:r>
      <w:r w:rsidR="008243DE" w:rsidRPr="004E4024">
        <w:rPr>
          <w:color w:val="000000"/>
        </w:rPr>
        <w:t>Impureza</w:t>
      </w:r>
      <w:r w:rsidRPr="004E4024">
        <w:rPr>
          <w:color w:val="000000"/>
        </w:rPr>
        <w:t xml:space="preserve">s; </w:t>
      </w:r>
    </w:p>
    <w:p w:rsidR="004E4024" w:rsidRDefault="004330C1" w:rsidP="004E4024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4E4024">
        <w:rPr>
          <w:color w:val="000000"/>
        </w:rPr>
        <w:t>b) descrição dos processos envolvidos para diminuição/remoção d</w:t>
      </w:r>
      <w:r w:rsidR="00572B56" w:rsidRPr="004E4024">
        <w:rPr>
          <w:color w:val="000000"/>
        </w:rPr>
        <w:t>o</w:t>
      </w:r>
      <w:r w:rsidRPr="004E4024">
        <w:rPr>
          <w:color w:val="000000"/>
        </w:rPr>
        <w:t>s</w:t>
      </w:r>
      <w:r w:rsidR="00572B56" w:rsidRPr="004E4024">
        <w:rPr>
          <w:color w:val="000000"/>
        </w:rPr>
        <w:t xml:space="preserve"> contaminantes e</w:t>
      </w:r>
      <w:r w:rsidRPr="004E4024">
        <w:rPr>
          <w:color w:val="000000"/>
        </w:rPr>
        <w:t xml:space="preserve"> </w:t>
      </w:r>
      <w:r w:rsidR="008243DE" w:rsidRPr="004E4024">
        <w:rPr>
          <w:color w:val="000000"/>
        </w:rPr>
        <w:t>Impureza</w:t>
      </w:r>
      <w:r w:rsidRPr="004E4024">
        <w:rPr>
          <w:color w:val="000000"/>
        </w:rPr>
        <w:t xml:space="preserve">s originadas pela decomposição do produto ou pelo processo de fabricação; </w:t>
      </w:r>
    </w:p>
    <w:p w:rsidR="004E4024" w:rsidRDefault="004330C1" w:rsidP="004E4024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4E4024">
        <w:rPr>
          <w:color w:val="000000"/>
        </w:rPr>
        <w:t xml:space="preserve">c) justificativas para as especificações de </w:t>
      </w:r>
      <w:r w:rsidR="008243DE" w:rsidRPr="004E4024">
        <w:rPr>
          <w:color w:val="000000"/>
        </w:rPr>
        <w:t>Impureza</w:t>
      </w:r>
      <w:r w:rsidRPr="004E4024">
        <w:rPr>
          <w:color w:val="000000"/>
        </w:rPr>
        <w:t xml:space="preserve">s no produto acabado; e </w:t>
      </w:r>
    </w:p>
    <w:p w:rsidR="004E4024" w:rsidRDefault="004330C1" w:rsidP="004E4024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4E4024">
        <w:rPr>
          <w:color w:val="000000"/>
        </w:rPr>
        <w:lastRenderedPageBreak/>
        <w:t>d) avaliação da segurança para agentes adventícios dos materiais de partida de origem biológica.</w:t>
      </w:r>
    </w:p>
    <w:p w:rsidR="004E4024" w:rsidRDefault="00694B5B" w:rsidP="004E4024">
      <w:pPr>
        <w:spacing w:after="200"/>
        <w:ind w:firstLine="567"/>
        <w:jc w:val="both"/>
      </w:pPr>
      <w:r w:rsidRPr="004E4024">
        <w:t>§1º As quantidades de cada substância</w:t>
      </w:r>
      <w:r w:rsidR="003A44C7" w:rsidRPr="004E4024">
        <w:t xml:space="preserve">, para fins de </w:t>
      </w:r>
      <w:r w:rsidR="00200693" w:rsidRPr="004E4024">
        <w:t xml:space="preserve">cumprimento </w:t>
      </w:r>
      <w:r w:rsidRPr="004E4024">
        <w:t xml:space="preserve">do </w:t>
      </w:r>
      <w:r w:rsidR="00200693" w:rsidRPr="004E4024">
        <w:t xml:space="preserve">disposto </w:t>
      </w:r>
      <w:r w:rsidRPr="004E4024">
        <w:t>na alínea b do inciso II deste artigo, devem ser expressas no sistema métrico decimal ou unidade padrão.</w:t>
      </w:r>
    </w:p>
    <w:p w:rsidR="004E4024" w:rsidRDefault="00F77ECC" w:rsidP="004E4024">
      <w:pPr>
        <w:spacing w:after="200"/>
        <w:ind w:firstLine="567"/>
        <w:jc w:val="both"/>
      </w:pPr>
      <w:r w:rsidRPr="004E4024">
        <w:t>§</w:t>
      </w:r>
      <w:r w:rsidR="00694B5B" w:rsidRPr="004E4024">
        <w:t xml:space="preserve">2º Sempre que </w:t>
      </w:r>
      <w:r w:rsidRPr="004E4024">
        <w:t>U</w:t>
      </w:r>
      <w:r w:rsidR="00694B5B" w:rsidRPr="004E4024">
        <w:t xml:space="preserve">nidade </w:t>
      </w:r>
      <w:r w:rsidRPr="004E4024">
        <w:t>I</w:t>
      </w:r>
      <w:r w:rsidR="00694B5B" w:rsidRPr="004E4024">
        <w:t xml:space="preserve">nternacional </w:t>
      </w:r>
      <w:r w:rsidR="003A44C7" w:rsidRPr="004E4024">
        <w:t xml:space="preserve">(UI) </w:t>
      </w:r>
      <w:r w:rsidR="00694B5B" w:rsidRPr="004E4024">
        <w:t xml:space="preserve">de atividade biológica </w:t>
      </w:r>
      <w:r w:rsidR="003A44C7" w:rsidRPr="004E4024">
        <w:t xml:space="preserve">houver </w:t>
      </w:r>
      <w:r w:rsidR="00171B0A" w:rsidRPr="004E4024">
        <w:t>sido</w:t>
      </w:r>
      <w:r w:rsidR="00694B5B" w:rsidRPr="004E4024">
        <w:t xml:space="preserve"> definida pela Organização Mundial d</w:t>
      </w:r>
      <w:r w:rsidR="00B73517" w:rsidRPr="004E4024">
        <w:t>a</w:t>
      </w:r>
      <w:r w:rsidR="00694B5B" w:rsidRPr="004E4024">
        <w:t xml:space="preserve"> Saúde</w:t>
      </w:r>
      <w:r w:rsidR="003A44C7" w:rsidRPr="004E4024">
        <w:t xml:space="preserve"> (OMS)</w:t>
      </w:r>
      <w:r w:rsidR="00694B5B" w:rsidRPr="004E4024">
        <w:t>, esta deve</w:t>
      </w:r>
      <w:r w:rsidR="003A44C7" w:rsidRPr="004E4024">
        <w:t>rá</w:t>
      </w:r>
      <w:r w:rsidR="00694B5B" w:rsidRPr="004E4024">
        <w:t xml:space="preserve"> ser utilizada. </w:t>
      </w:r>
    </w:p>
    <w:p w:rsidR="004E4024" w:rsidRDefault="00F77ECC" w:rsidP="004E4024">
      <w:pPr>
        <w:spacing w:after="200"/>
        <w:ind w:firstLine="567"/>
        <w:jc w:val="both"/>
      </w:pPr>
      <w:r w:rsidRPr="004E4024">
        <w:t xml:space="preserve">§3º </w:t>
      </w:r>
      <w:r w:rsidR="00694B5B" w:rsidRPr="004E4024">
        <w:t xml:space="preserve">No caso de </w:t>
      </w:r>
      <w:r w:rsidR="003A44C7" w:rsidRPr="004E4024">
        <w:t>UI</w:t>
      </w:r>
      <w:r w:rsidR="00171B0A" w:rsidRPr="004E4024">
        <w:t xml:space="preserve"> ainda</w:t>
      </w:r>
      <w:r w:rsidR="00694B5B" w:rsidRPr="004E4024">
        <w:t xml:space="preserve"> não definida, a unidade de atividade biológica deve ser expressa de forma a proporcionar informação inequívoca sobre a atividade da substância.</w:t>
      </w:r>
    </w:p>
    <w:p w:rsidR="004E4024" w:rsidRDefault="001128C0" w:rsidP="004E4024">
      <w:pPr>
        <w:tabs>
          <w:tab w:val="left" w:pos="3969"/>
        </w:tabs>
        <w:spacing w:after="200"/>
        <w:ind w:firstLine="567"/>
        <w:jc w:val="both"/>
      </w:pPr>
      <w:r w:rsidRPr="004E4024">
        <w:t>§</w:t>
      </w:r>
      <w:r w:rsidR="00A852D4" w:rsidRPr="004E4024">
        <w:t>4</w:t>
      </w:r>
      <w:r w:rsidR="00171B0A" w:rsidRPr="004E4024">
        <w:t xml:space="preserve">º Deverá ser utilizado padrão de referência </w:t>
      </w:r>
      <w:r w:rsidR="00AC5A21" w:rsidRPr="004E4024">
        <w:t xml:space="preserve">nacional ou </w:t>
      </w:r>
      <w:r w:rsidR="00171B0A" w:rsidRPr="004E4024">
        <w:t xml:space="preserve">internacional, quando disponível. </w:t>
      </w:r>
    </w:p>
    <w:p w:rsidR="004E4024" w:rsidRDefault="001128C0" w:rsidP="004E4024">
      <w:pPr>
        <w:tabs>
          <w:tab w:val="left" w:pos="3969"/>
        </w:tabs>
        <w:spacing w:after="200"/>
        <w:ind w:firstLine="567"/>
        <w:jc w:val="both"/>
      </w:pPr>
      <w:r w:rsidRPr="004E4024">
        <w:t>§</w:t>
      </w:r>
      <w:r w:rsidR="00A852D4" w:rsidRPr="004E4024">
        <w:t>5</w:t>
      </w:r>
      <w:r w:rsidR="00694B5B" w:rsidRPr="004E4024">
        <w:t xml:space="preserve">º A uniformidade dos </w:t>
      </w:r>
      <w:r w:rsidR="00362FEB" w:rsidRPr="004E4024">
        <w:t>Materiais</w:t>
      </w:r>
      <w:r w:rsidR="00694B5B" w:rsidRPr="004E4024">
        <w:t>-</w:t>
      </w:r>
      <w:r w:rsidR="00362FEB" w:rsidRPr="004E4024">
        <w:t xml:space="preserve">Fonte </w:t>
      </w:r>
      <w:r w:rsidR="00694B5B" w:rsidRPr="004E4024">
        <w:t>para a mesma destinação deve ser demonstrada</w:t>
      </w:r>
      <w:r w:rsidR="00CE1E92" w:rsidRPr="004E4024">
        <w:t>.</w:t>
      </w:r>
    </w:p>
    <w:p w:rsidR="004E4024" w:rsidRDefault="001128C0" w:rsidP="004E4024">
      <w:pPr>
        <w:tabs>
          <w:tab w:val="left" w:pos="3969"/>
        </w:tabs>
        <w:spacing w:after="200"/>
        <w:ind w:firstLine="567"/>
        <w:jc w:val="both"/>
      </w:pPr>
      <w:r w:rsidRPr="004E4024">
        <w:t>§</w:t>
      </w:r>
      <w:r w:rsidR="00A852D4" w:rsidRPr="004E4024">
        <w:t>6</w:t>
      </w:r>
      <w:r w:rsidR="00732AB3" w:rsidRPr="004E4024">
        <w:t xml:space="preserve">º Para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="00A852D4" w:rsidRPr="004E4024">
        <w:t xml:space="preserve"> P</w:t>
      </w:r>
      <w:r w:rsidR="007E4BCF" w:rsidRPr="004E4024">
        <w:t>olivalente</w:t>
      </w:r>
      <w:r w:rsidR="007124C4" w:rsidRPr="004E4024">
        <w:t>s</w:t>
      </w:r>
      <w:r w:rsidR="00732AB3" w:rsidRPr="004E4024">
        <w:t xml:space="preserve">, a escolha e o número de </w:t>
      </w:r>
      <w:r w:rsidR="0083194E" w:rsidRPr="004E4024">
        <w:t>Materiais-Fonte</w:t>
      </w:r>
      <w:r w:rsidR="00732AB3" w:rsidRPr="004E4024">
        <w:t xml:space="preserve"> utilizados</w:t>
      </w:r>
      <w:r w:rsidR="006105ED" w:rsidRPr="004E4024">
        <w:t xml:space="preserve"> </w:t>
      </w:r>
      <w:r w:rsidR="00732AB3" w:rsidRPr="004E4024">
        <w:t>devem ser justificad</w:t>
      </w:r>
      <w:r w:rsidR="00B44D26" w:rsidRPr="004E4024">
        <w:t>o</w:t>
      </w:r>
      <w:r w:rsidR="00732AB3" w:rsidRPr="004E4024">
        <w:t xml:space="preserve">s com base em racional científico, </w:t>
      </w:r>
      <w:r w:rsidR="006105ED" w:rsidRPr="004E4024">
        <w:t xml:space="preserve">o qual deve </w:t>
      </w:r>
      <w:r w:rsidR="00732AB3" w:rsidRPr="004E4024">
        <w:t>ser enviado em anexo ao relatório técnico.</w:t>
      </w:r>
    </w:p>
    <w:p w:rsidR="004E4024" w:rsidRDefault="00517C27" w:rsidP="004E4024">
      <w:pPr>
        <w:autoSpaceDE w:val="0"/>
        <w:autoSpaceDN w:val="0"/>
        <w:adjustRightInd w:val="0"/>
        <w:spacing w:after="200"/>
        <w:jc w:val="center"/>
        <w:rPr>
          <w:b/>
          <w:bCs/>
        </w:rPr>
      </w:pPr>
      <w:r w:rsidRPr="004E4024">
        <w:rPr>
          <w:b/>
          <w:bCs/>
        </w:rPr>
        <w:t xml:space="preserve">Seção </w:t>
      </w:r>
      <w:r w:rsidR="00246E87" w:rsidRPr="004E4024">
        <w:rPr>
          <w:b/>
          <w:bCs/>
        </w:rPr>
        <w:t>III</w:t>
      </w:r>
    </w:p>
    <w:p w:rsidR="004E4024" w:rsidRDefault="00372B40" w:rsidP="004E4024">
      <w:pPr>
        <w:autoSpaceDE w:val="0"/>
        <w:autoSpaceDN w:val="0"/>
        <w:adjustRightInd w:val="0"/>
        <w:spacing w:after="200"/>
        <w:jc w:val="center"/>
        <w:rPr>
          <w:b/>
          <w:bCs/>
        </w:rPr>
      </w:pPr>
      <w:r w:rsidRPr="004E4024">
        <w:rPr>
          <w:b/>
          <w:bCs/>
        </w:rPr>
        <w:t xml:space="preserve">Do </w:t>
      </w:r>
      <w:r w:rsidR="006971B3" w:rsidRPr="004E4024">
        <w:rPr>
          <w:b/>
          <w:bCs/>
        </w:rPr>
        <w:t>Relatório de Experimentação Terapêutica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Art. </w:t>
      </w:r>
      <w:r w:rsidR="008D6157" w:rsidRPr="004E4024">
        <w:rPr>
          <w:bCs/>
        </w:rPr>
        <w:t>27</w:t>
      </w:r>
      <w:r w:rsidRPr="004E4024">
        <w:rPr>
          <w:bCs/>
        </w:rPr>
        <w:t xml:space="preserve">. No ato do protocolo de pedido de registro de </w:t>
      </w:r>
      <w:r w:rsidR="00CD5D36" w:rsidRPr="004E4024">
        <w:rPr>
          <w:bCs/>
        </w:rPr>
        <w:t xml:space="preserve">Soro </w:t>
      </w:r>
      <w:proofErr w:type="spellStart"/>
      <w:r w:rsidR="00CD5D36" w:rsidRPr="004E4024">
        <w:rPr>
          <w:bCs/>
        </w:rPr>
        <w:t>Hiperimune</w:t>
      </w:r>
      <w:proofErr w:type="spellEnd"/>
      <w:r w:rsidRPr="004E4024">
        <w:rPr>
          <w:bCs/>
        </w:rPr>
        <w:t>, a empresa solicitante deverá apresentar</w:t>
      </w:r>
      <w:r w:rsidR="00583E22" w:rsidRPr="004E4024">
        <w:rPr>
          <w:bCs/>
        </w:rPr>
        <w:t xml:space="preserve">, além do disposto </w:t>
      </w:r>
      <w:r w:rsidR="00B00707" w:rsidRPr="004E4024">
        <w:rPr>
          <w:bCs/>
        </w:rPr>
        <w:t>nas Seções I e II do</w:t>
      </w:r>
      <w:r w:rsidR="00583E22" w:rsidRPr="004E4024">
        <w:rPr>
          <w:bCs/>
        </w:rPr>
        <w:t xml:space="preserve"> Capítulo</w:t>
      </w:r>
      <w:r w:rsidR="00B00707" w:rsidRPr="004E4024">
        <w:rPr>
          <w:bCs/>
        </w:rPr>
        <w:t xml:space="preserve"> III</w:t>
      </w:r>
      <w:r w:rsidR="00DD5497" w:rsidRPr="004E4024">
        <w:rPr>
          <w:bCs/>
        </w:rPr>
        <w:t xml:space="preserve"> desta Resolução</w:t>
      </w:r>
      <w:r w:rsidR="00583E22" w:rsidRPr="004E4024">
        <w:rPr>
          <w:bCs/>
        </w:rPr>
        <w:t xml:space="preserve">, </w:t>
      </w:r>
      <w:r w:rsidR="00246E87" w:rsidRPr="004E4024">
        <w:rPr>
          <w:bCs/>
        </w:rPr>
        <w:t xml:space="preserve">o </w:t>
      </w:r>
      <w:r w:rsidRPr="004E4024">
        <w:rPr>
          <w:bCs/>
        </w:rPr>
        <w:t>relatório de experimentação terapêutica</w:t>
      </w:r>
      <w:r w:rsidR="00583E22" w:rsidRPr="004E4024">
        <w:rPr>
          <w:bCs/>
        </w:rPr>
        <w:t>,</w:t>
      </w:r>
      <w:r w:rsidRPr="004E4024">
        <w:rPr>
          <w:bCs/>
        </w:rPr>
        <w:t xml:space="preserve"> contendo os protocolos e relatórios completos dos seguintes estudos: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 – </w:t>
      </w:r>
      <w:proofErr w:type="gramStart"/>
      <w:r w:rsidRPr="004E4024">
        <w:rPr>
          <w:bCs/>
        </w:rPr>
        <w:t>estudos</w:t>
      </w:r>
      <w:proofErr w:type="gramEnd"/>
      <w:r w:rsidRPr="004E4024">
        <w:rPr>
          <w:bCs/>
        </w:rPr>
        <w:t xml:space="preserve"> não-clínicos</w:t>
      </w:r>
      <w:r w:rsidR="00D650BB" w:rsidRPr="004E4024">
        <w:rPr>
          <w:bCs/>
        </w:rPr>
        <w:t>, desenhados</w:t>
      </w:r>
      <w:r w:rsidRPr="004E4024">
        <w:rPr>
          <w:bCs/>
        </w:rPr>
        <w:t xml:space="preserve"> com </w:t>
      </w:r>
      <w:r w:rsidR="00D650BB" w:rsidRPr="004E4024">
        <w:rPr>
          <w:bCs/>
        </w:rPr>
        <w:t xml:space="preserve">o </w:t>
      </w:r>
      <w:r w:rsidRPr="004E4024">
        <w:rPr>
          <w:bCs/>
        </w:rPr>
        <w:t>objetivo de determinar</w:t>
      </w:r>
      <w:r w:rsidR="00D650BB" w:rsidRPr="004E4024">
        <w:rPr>
          <w:bCs/>
        </w:rPr>
        <w:t>,</w:t>
      </w:r>
      <w:r w:rsidRPr="004E4024">
        <w:rPr>
          <w:bCs/>
        </w:rPr>
        <w:t xml:space="preserve"> no mínimo</w:t>
      </w:r>
      <w:r w:rsidR="00D650BB" w:rsidRPr="004E4024">
        <w:rPr>
          <w:bCs/>
        </w:rPr>
        <w:t>,</w:t>
      </w:r>
      <w:r w:rsidRPr="004E4024">
        <w:rPr>
          <w:bCs/>
        </w:rPr>
        <w:t xml:space="preserve"> </w:t>
      </w:r>
      <w:r w:rsidR="00860BEE" w:rsidRPr="004E4024">
        <w:rPr>
          <w:bCs/>
        </w:rPr>
        <w:t xml:space="preserve">a DE50 e </w:t>
      </w:r>
      <w:r w:rsidR="00983115" w:rsidRPr="004E4024">
        <w:rPr>
          <w:bCs/>
        </w:rPr>
        <w:t xml:space="preserve">a potência do </w:t>
      </w:r>
      <w:r w:rsidR="008243DE" w:rsidRPr="004E4024">
        <w:rPr>
          <w:bCs/>
        </w:rPr>
        <w:t>Material-Fonte</w:t>
      </w:r>
      <w:r w:rsidRPr="004E4024">
        <w:rPr>
          <w:bCs/>
        </w:rPr>
        <w:t>;</w:t>
      </w:r>
      <w:r w:rsidR="00246E87" w:rsidRPr="004E4024">
        <w:rPr>
          <w:bCs/>
        </w:rPr>
        <w:t xml:space="preserve"> e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II – </w:t>
      </w:r>
      <w:proofErr w:type="gramStart"/>
      <w:r w:rsidRPr="004E4024">
        <w:rPr>
          <w:bCs/>
        </w:rPr>
        <w:t>estudo</w:t>
      </w:r>
      <w:r w:rsidR="00D650BB" w:rsidRPr="004E4024">
        <w:rPr>
          <w:bCs/>
        </w:rPr>
        <w:t>s</w:t>
      </w:r>
      <w:proofErr w:type="gramEnd"/>
      <w:r w:rsidRPr="004E4024">
        <w:rPr>
          <w:bCs/>
        </w:rPr>
        <w:t xml:space="preserve"> clínico</w:t>
      </w:r>
      <w:r w:rsidR="00D650BB" w:rsidRPr="004E4024">
        <w:rPr>
          <w:bCs/>
        </w:rPr>
        <w:t>s,</w:t>
      </w:r>
      <w:r w:rsidRPr="004E4024">
        <w:rPr>
          <w:bCs/>
        </w:rPr>
        <w:t xml:space="preserve"> abrangendo aspectos </w:t>
      </w:r>
      <w:r w:rsidR="00D650BB" w:rsidRPr="004E4024">
        <w:rPr>
          <w:bCs/>
        </w:rPr>
        <w:t xml:space="preserve">de </w:t>
      </w:r>
      <w:r w:rsidRPr="004E4024">
        <w:rPr>
          <w:bCs/>
        </w:rPr>
        <w:t>eficácia e segurança</w:t>
      </w:r>
      <w:r w:rsidR="00246E87" w:rsidRPr="004E4024">
        <w:rPr>
          <w:bCs/>
        </w:rPr>
        <w:t>.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§</w:t>
      </w:r>
      <w:r w:rsidR="00390748" w:rsidRPr="004E4024">
        <w:rPr>
          <w:bCs/>
        </w:rPr>
        <w:t>1</w:t>
      </w:r>
      <w:r w:rsidRPr="004E4024">
        <w:rPr>
          <w:bCs/>
        </w:rPr>
        <w:t xml:space="preserve">º </w:t>
      </w:r>
      <w:r w:rsidR="00C84A0C" w:rsidRPr="004E4024">
        <w:rPr>
          <w:bCs/>
        </w:rPr>
        <w:t>O</w:t>
      </w:r>
      <w:r w:rsidRPr="004E4024">
        <w:rPr>
          <w:bCs/>
        </w:rPr>
        <w:t xml:space="preserve"> comparador utilizado </w:t>
      </w:r>
      <w:r w:rsidR="0078667A" w:rsidRPr="004E4024">
        <w:rPr>
          <w:bCs/>
        </w:rPr>
        <w:t>nos</w:t>
      </w:r>
      <w:r w:rsidRPr="004E4024">
        <w:rPr>
          <w:bCs/>
        </w:rPr>
        <w:t xml:space="preserve"> estudos clínicos pode ser soro controle ou o próprio soro a ser testado em dosagens diferentes</w:t>
      </w:r>
      <w:r w:rsidR="0078667A" w:rsidRPr="004E4024">
        <w:rPr>
          <w:bCs/>
        </w:rPr>
        <w:t>, e</w:t>
      </w:r>
      <w:r w:rsidR="00DD5497" w:rsidRPr="004E4024">
        <w:rPr>
          <w:bCs/>
        </w:rPr>
        <w:t>,</w:t>
      </w:r>
      <w:r w:rsidR="0078667A" w:rsidRPr="004E4024">
        <w:rPr>
          <w:bCs/>
        </w:rPr>
        <w:t xml:space="preserve"> </w:t>
      </w:r>
      <w:r w:rsidR="00DD5497" w:rsidRPr="004E4024">
        <w:rPr>
          <w:bCs/>
        </w:rPr>
        <w:t xml:space="preserve">no </w:t>
      </w:r>
      <w:r w:rsidRPr="004E4024">
        <w:rPr>
          <w:bCs/>
        </w:rPr>
        <w:t>último caso</w:t>
      </w:r>
      <w:r w:rsidR="00C84A0C" w:rsidRPr="004E4024">
        <w:rPr>
          <w:bCs/>
        </w:rPr>
        <w:t>,</w:t>
      </w:r>
      <w:r w:rsidRPr="004E4024">
        <w:rPr>
          <w:bCs/>
        </w:rPr>
        <w:t xml:space="preserve"> com procedimento de salvaguardas.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§</w:t>
      </w:r>
      <w:r w:rsidR="00390748" w:rsidRPr="004E4024">
        <w:rPr>
          <w:bCs/>
        </w:rPr>
        <w:t>2</w:t>
      </w:r>
      <w:r w:rsidRPr="004E4024">
        <w:rPr>
          <w:bCs/>
        </w:rPr>
        <w:t xml:space="preserve">º </w:t>
      </w:r>
      <w:r w:rsidR="00B37E5B" w:rsidRPr="004E4024">
        <w:rPr>
          <w:bCs/>
        </w:rPr>
        <w:t>Devem ser adotados, como medida de avaliação de eficácia, desfechos clínicos e/ou parâmetros laboratoriais compatíveis com a resposta terapêutica desejada.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§</w:t>
      </w:r>
      <w:r w:rsidR="00390748" w:rsidRPr="004E4024">
        <w:rPr>
          <w:bCs/>
        </w:rPr>
        <w:t>3</w:t>
      </w:r>
      <w:r w:rsidRPr="004E4024">
        <w:rPr>
          <w:bCs/>
        </w:rPr>
        <w:t xml:space="preserve">º </w:t>
      </w:r>
      <w:r w:rsidR="00C55BD1" w:rsidRPr="004E4024">
        <w:rPr>
          <w:bCs/>
        </w:rPr>
        <w:t>C</w:t>
      </w:r>
      <w:r w:rsidRPr="004E4024">
        <w:rPr>
          <w:bCs/>
        </w:rPr>
        <w:t>omo parâmetro de segurança</w:t>
      </w:r>
      <w:r w:rsidR="006D5FAC" w:rsidRPr="004E4024">
        <w:rPr>
          <w:bCs/>
        </w:rPr>
        <w:t xml:space="preserve">, </w:t>
      </w:r>
      <w:r w:rsidR="00C55BD1" w:rsidRPr="004E4024">
        <w:rPr>
          <w:bCs/>
        </w:rPr>
        <w:t>deve ser observad</w:t>
      </w:r>
      <w:r w:rsidR="00885613" w:rsidRPr="004E4024">
        <w:rPr>
          <w:bCs/>
        </w:rPr>
        <w:t>a</w:t>
      </w:r>
      <w:r w:rsidR="00C55BD1" w:rsidRPr="004E4024">
        <w:rPr>
          <w:bCs/>
        </w:rPr>
        <w:t xml:space="preserve"> </w:t>
      </w:r>
      <w:r w:rsidR="006D5FAC" w:rsidRPr="004E4024">
        <w:rPr>
          <w:bCs/>
        </w:rPr>
        <w:t xml:space="preserve">a </w:t>
      </w:r>
      <w:r w:rsidRPr="004E4024">
        <w:rPr>
          <w:bCs/>
        </w:rPr>
        <w:t>ocorrência de reações</w:t>
      </w:r>
      <w:r w:rsidR="005B21E2" w:rsidRPr="004E4024">
        <w:rPr>
          <w:bCs/>
        </w:rPr>
        <w:t xml:space="preserve"> adversas</w:t>
      </w:r>
      <w:r w:rsidRPr="004E4024">
        <w:rPr>
          <w:bCs/>
        </w:rPr>
        <w:t xml:space="preserve">. </w:t>
      </w:r>
    </w:p>
    <w:p w:rsidR="004E4024" w:rsidRDefault="00F16F70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§</w:t>
      </w:r>
      <w:r w:rsidR="00390748" w:rsidRPr="004E4024">
        <w:rPr>
          <w:bCs/>
        </w:rPr>
        <w:t>4</w:t>
      </w:r>
      <w:r w:rsidRPr="004E4024">
        <w:rPr>
          <w:bCs/>
        </w:rPr>
        <w:t xml:space="preserve">º </w:t>
      </w:r>
      <w:r w:rsidR="00C84A0C" w:rsidRPr="004E4024">
        <w:rPr>
          <w:bCs/>
        </w:rPr>
        <w:t>E</w:t>
      </w:r>
      <w:r w:rsidRPr="004E4024">
        <w:rPr>
          <w:bCs/>
        </w:rPr>
        <w:t xml:space="preserve">studos </w:t>
      </w:r>
      <w:r w:rsidR="00A34123" w:rsidRPr="004E4024">
        <w:rPr>
          <w:bCs/>
        </w:rPr>
        <w:t xml:space="preserve">clínicos de </w:t>
      </w:r>
      <w:r w:rsidRPr="004E4024">
        <w:rPr>
          <w:bCs/>
        </w:rPr>
        <w:t>fase IV</w:t>
      </w:r>
      <w:r w:rsidR="00C84A0C" w:rsidRPr="004E4024">
        <w:rPr>
          <w:bCs/>
        </w:rPr>
        <w:t>,</w:t>
      </w:r>
      <w:r w:rsidRPr="004E4024">
        <w:rPr>
          <w:bCs/>
        </w:rPr>
        <w:t xml:space="preserve"> pós-comercialização, quando disponíveis, devem ser apresentados. </w:t>
      </w:r>
    </w:p>
    <w:p w:rsidR="00517C27" w:rsidRPr="004E4024" w:rsidRDefault="00517C27" w:rsidP="004E4024">
      <w:pPr>
        <w:autoSpaceDE w:val="0"/>
        <w:autoSpaceDN w:val="0"/>
        <w:adjustRightInd w:val="0"/>
        <w:spacing w:after="200"/>
        <w:jc w:val="center"/>
        <w:rPr>
          <w:b/>
          <w:bCs/>
        </w:rPr>
      </w:pPr>
      <w:r w:rsidRPr="004E4024">
        <w:rPr>
          <w:b/>
          <w:bCs/>
        </w:rPr>
        <w:lastRenderedPageBreak/>
        <w:t xml:space="preserve">CAPÍTULO </w:t>
      </w:r>
      <w:r w:rsidR="00C84A0C" w:rsidRPr="004E4024">
        <w:rPr>
          <w:b/>
          <w:bCs/>
        </w:rPr>
        <w:t>IV</w:t>
      </w:r>
    </w:p>
    <w:p w:rsidR="004E4024" w:rsidRDefault="00517C27" w:rsidP="004E4024">
      <w:pPr>
        <w:autoSpaceDE w:val="0"/>
        <w:autoSpaceDN w:val="0"/>
        <w:adjustRightInd w:val="0"/>
        <w:spacing w:after="200"/>
        <w:jc w:val="center"/>
        <w:rPr>
          <w:b/>
          <w:bCs/>
        </w:rPr>
      </w:pPr>
      <w:r w:rsidRPr="004E4024">
        <w:rPr>
          <w:b/>
          <w:bCs/>
        </w:rPr>
        <w:t>DAS DISPOSIÇÕES FINAIS E TRANSITÓRIAS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Art. </w:t>
      </w:r>
      <w:r w:rsidR="001F4631" w:rsidRPr="004E4024">
        <w:rPr>
          <w:bCs/>
        </w:rPr>
        <w:t>2</w:t>
      </w:r>
      <w:r w:rsidR="008D6157" w:rsidRPr="004E4024">
        <w:rPr>
          <w:bCs/>
        </w:rPr>
        <w:t>8</w:t>
      </w:r>
      <w:r w:rsidRPr="004E4024">
        <w:rPr>
          <w:bCs/>
        </w:rPr>
        <w:t xml:space="preserve">. </w:t>
      </w:r>
      <w:r w:rsidR="009E7E5F" w:rsidRPr="004E4024">
        <w:rPr>
          <w:bCs/>
        </w:rPr>
        <w:t>O art.</w:t>
      </w:r>
      <w:r w:rsidR="00D11FA0" w:rsidRPr="004E4024">
        <w:rPr>
          <w:bCs/>
        </w:rPr>
        <w:t xml:space="preserve"> 5º da </w:t>
      </w:r>
      <w:r w:rsidR="00DD5497" w:rsidRPr="004E4024">
        <w:rPr>
          <w:bCs/>
        </w:rPr>
        <w:t xml:space="preserve">Resolução da Diretoria Colegiada - </w:t>
      </w:r>
      <w:r w:rsidR="00D11FA0" w:rsidRPr="004E4024">
        <w:rPr>
          <w:bCs/>
        </w:rPr>
        <w:t>RDC nº 55</w:t>
      </w:r>
      <w:r w:rsidR="009E7E5F" w:rsidRPr="004E4024">
        <w:rPr>
          <w:bCs/>
        </w:rPr>
        <w:t xml:space="preserve">, de </w:t>
      </w:r>
      <w:r w:rsidR="00D11FA0" w:rsidRPr="004E4024">
        <w:rPr>
          <w:bCs/>
        </w:rPr>
        <w:t>2010, passa a vigorar com a seguinte redação:</w:t>
      </w:r>
    </w:p>
    <w:p w:rsidR="004E4024" w:rsidRDefault="00A46E4F" w:rsidP="004E4024">
      <w:pPr>
        <w:pStyle w:val="NormalWeb"/>
        <w:spacing w:before="0" w:beforeAutospacing="0" w:after="200" w:afterAutospacing="0"/>
        <w:ind w:firstLine="567"/>
        <w:jc w:val="both"/>
      </w:pPr>
      <w:r w:rsidRPr="004E4024">
        <w:t>“</w:t>
      </w:r>
      <w:r w:rsidR="00D11FA0" w:rsidRPr="004E4024">
        <w:t xml:space="preserve">Art. 5º Esta Resolução não se aplica aos antibióticos e estrógenos conjugados </w:t>
      </w:r>
      <w:r w:rsidRPr="004E4024">
        <w:t>semissintéticos</w:t>
      </w:r>
      <w:r w:rsidR="00D11FA0" w:rsidRPr="004E4024">
        <w:t xml:space="preserve"> (anovulatórios), </w:t>
      </w:r>
      <w:r w:rsidR="00923A01" w:rsidRPr="004E4024">
        <w:t xml:space="preserve">Soros </w:t>
      </w:r>
      <w:proofErr w:type="spellStart"/>
      <w:r w:rsidR="00923A01" w:rsidRPr="004E4024">
        <w:t>Hiperimunes</w:t>
      </w:r>
      <w:proofErr w:type="spellEnd"/>
      <w:r w:rsidR="00D11FA0" w:rsidRPr="004E4024">
        <w:t xml:space="preserve">, </w:t>
      </w:r>
      <w:proofErr w:type="spellStart"/>
      <w:r w:rsidR="00D11FA0" w:rsidRPr="004E4024">
        <w:t>probióticos</w:t>
      </w:r>
      <w:proofErr w:type="spellEnd"/>
      <w:r w:rsidR="00D11FA0" w:rsidRPr="004E4024">
        <w:t xml:space="preserve"> e </w:t>
      </w:r>
      <w:proofErr w:type="spellStart"/>
      <w:r w:rsidR="00D11FA0" w:rsidRPr="004E4024">
        <w:t>alérgenos</w:t>
      </w:r>
      <w:proofErr w:type="spellEnd"/>
      <w:r w:rsidR="00D11FA0" w:rsidRPr="004E4024">
        <w:t xml:space="preserve">, sendo estes regulamentados em norma </w:t>
      </w:r>
      <w:proofErr w:type="gramStart"/>
      <w:r w:rsidR="00D11FA0" w:rsidRPr="004E4024">
        <w:t>própria.</w:t>
      </w:r>
      <w:r w:rsidRPr="004E4024">
        <w:t>”</w:t>
      </w:r>
      <w:proofErr w:type="gramEnd"/>
      <w:r w:rsidR="00DD5497" w:rsidRPr="004E4024">
        <w:t xml:space="preserve"> (NR)</w:t>
      </w:r>
    </w:p>
    <w:p w:rsidR="004E4024" w:rsidRDefault="001F4631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>Art. 2</w:t>
      </w:r>
      <w:r w:rsidR="008D6157" w:rsidRPr="004E4024">
        <w:rPr>
          <w:bCs/>
        </w:rPr>
        <w:t>9</w:t>
      </w:r>
      <w:r w:rsidR="00D11FA0" w:rsidRPr="004E4024">
        <w:rPr>
          <w:bCs/>
        </w:rPr>
        <w:t xml:space="preserve">. </w:t>
      </w:r>
      <w:r w:rsidR="00517C27" w:rsidRPr="004E4024">
        <w:rPr>
          <w:bCs/>
        </w:rPr>
        <w:t xml:space="preserve">O descumprimento </w:t>
      </w:r>
      <w:r w:rsidR="00ED703D" w:rsidRPr="004E4024">
        <w:rPr>
          <w:bCs/>
        </w:rPr>
        <w:t>do disposto</w:t>
      </w:r>
      <w:r w:rsidR="00517C27" w:rsidRPr="004E4024">
        <w:rPr>
          <w:bCs/>
        </w:rPr>
        <w:t xml:space="preserve"> nesta Resolução</w:t>
      </w:r>
      <w:r w:rsidR="003363EB" w:rsidRPr="004E4024">
        <w:rPr>
          <w:bCs/>
        </w:rPr>
        <w:t xml:space="preserve"> constitui</w:t>
      </w:r>
      <w:r w:rsidR="00D76527" w:rsidRPr="004E4024">
        <w:rPr>
          <w:bCs/>
        </w:rPr>
        <w:t xml:space="preserve"> infração sanitária, sujeitando o infrator às penalidades previstas na Lei nº 6.437, de 20 de agosto de 1977, sem prejuízo da</w:t>
      </w:r>
      <w:r w:rsidR="00DD5497" w:rsidRPr="004E4024">
        <w:rPr>
          <w:bCs/>
        </w:rPr>
        <w:t>s</w:t>
      </w:r>
      <w:r w:rsidR="00D76527" w:rsidRPr="004E4024">
        <w:rPr>
          <w:bCs/>
        </w:rPr>
        <w:t xml:space="preserve"> responsabilidade</w:t>
      </w:r>
      <w:r w:rsidR="00DD5497" w:rsidRPr="004E4024">
        <w:rPr>
          <w:bCs/>
        </w:rPr>
        <w:t>s</w:t>
      </w:r>
      <w:r w:rsidR="00D76527" w:rsidRPr="004E4024">
        <w:rPr>
          <w:bCs/>
        </w:rPr>
        <w:t xml:space="preserve"> civil e penal prevista</w:t>
      </w:r>
      <w:r w:rsidR="00DD5497" w:rsidRPr="004E4024">
        <w:rPr>
          <w:bCs/>
        </w:rPr>
        <w:t>s</w:t>
      </w:r>
      <w:r w:rsidR="00D76527" w:rsidRPr="004E4024">
        <w:rPr>
          <w:bCs/>
        </w:rPr>
        <w:t xml:space="preserve"> nas normas aplicáveis vigentes.</w:t>
      </w:r>
    </w:p>
    <w:p w:rsidR="004E4024" w:rsidRDefault="00517C27" w:rsidP="004E4024">
      <w:pPr>
        <w:spacing w:after="200"/>
        <w:ind w:firstLine="567"/>
        <w:jc w:val="both"/>
        <w:rPr>
          <w:bCs/>
        </w:rPr>
      </w:pPr>
      <w:r w:rsidRPr="004E4024">
        <w:rPr>
          <w:bCs/>
        </w:rPr>
        <w:t xml:space="preserve">Art. </w:t>
      </w:r>
      <w:r w:rsidR="008D6157" w:rsidRPr="004E4024">
        <w:rPr>
          <w:bCs/>
        </w:rPr>
        <w:t>30</w:t>
      </w:r>
      <w:r w:rsidRPr="004E4024">
        <w:rPr>
          <w:bCs/>
        </w:rPr>
        <w:t xml:space="preserve">. Esta Resolução entra em </w:t>
      </w:r>
      <w:r w:rsidR="00C84A0C" w:rsidRPr="004E4024">
        <w:rPr>
          <w:bCs/>
        </w:rPr>
        <w:t>vigor na data de sua publicação.</w:t>
      </w:r>
    </w:p>
    <w:p w:rsidR="004E4024" w:rsidRDefault="004E4024" w:rsidP="004E4024">
      <w:pPr>
        <w:spacing w:after="200"/>
        <w:rPr>
          <w:bCs/>
        </w:rPr>
      </w:pPr>
      <w:bookmarkStart w:id="4" w:name="_GoBack"/>
      <w:bookmarkEnd w:id="4"/>
    </w:p>
    <w:p w:rsidR="006D4CDE" w:rsidRPr="004E4024" w:rsidRDefault="006D4CDE" w:rsidP="004E4024">
      <w:pPr>
        <w:spacing w:after="200"/>
        <w:jc w:val="center"/>
      </w:pPr>
      <w:r w:rsidRPr="004E4024">
        <w:t>JARBAS BARBOSA DA SILVA JR.</w:t>
      </w:r>
    </w:p>
    <w:sectPr w:rsidR="006D4CDE" w:rsidRPr="004E4024" w:rsidSect="004E4024">
      <w:headerReference w:type="default" r:id="rId8"/>
      <w:footerReference w:type="default" r:id="rId9"/>
      <w:pgSz w:w="11906" w:h="16838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4149" w:rsidRDefault="00A24149">
      <w:r>
        <w:separator/>
      </w:r>
    </w:p>
  </w:endnote>
  <w:endnote w:type="continuationSeparator" w:id="0">
    <w:p w:rsidR="00A24149" w:rsidRDefault="00A24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024" w:rsidRPr="004E4024" w:rsidRDefault="004E4024" w:rsidP="004E4024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4149" w:rsidRDefault="00A24149">
      <w:r>
        <w:separator/>
      </w:r>
    </w:p>
  </w:footnote>
  <w:footnote w:type="continuationSeparator" w:id="0">
    <w:p w:rsidR="00A24149" w:rsidRDefault="00A241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E4024" w:rsidRPr="00B517AC" w:rsidRDefault="004E4024" w:rsidP="004E4024">
    <w:pPr>
      <w:tabs>
        <w:tab w:val="center" w:pos="4252"/>
        <w:tab w:val="right" w:pos="8504"/>
      </w:tabs>
      <w:jc w:val="center"/>
      <w:rPr>
        <w:rFonts w:ascii="Calibri" w:hAnsi="Calibri"/>
      </w:rPr>
    </w:pPr>
    <w:r>
      <w:rPr>
        <w:rFonts w:ascii="Calibri" w:hAnsi="Calibri"/>
        <w:noProof/>
      </w:rPr>
      <w:drawing>
        <wp:inline distT="0" distB="0" distL="0" distR="0" wp14:anchorId="2CF10F93" wp14:editId="36EF5597">
          <wp:extent cx="657225" cy="647700"/>
          <wp:effectExtent l="0" t="0" r="9525" b="0"/>
          <wp:docPr id="1" name="Imagem 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4E4024" w:rsidRPr="00B517AC" w:rsidRDefault="004E4024" w:rsidP="004E402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4E4024" w:rsidRPr="00B517AC" w:rsidRDefault="004E4024" w:rsidP="004E4024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80531D" w:rsidRPr="00611AE7" w:rsidRDefault="0080531D" w:rsidP="00517C27">
    <w:pPr>
      <w:pStyle w:val="Cabealho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38569F"/>
    <w:multiLevelType w:val="hybridMultilevel"/>
    <w:tmpl w:val="57EEC1CC"/>
    <w:lvl w:ilvl="0" w:tplc="377AA14C">
      <w:start w:val="1"/>
      <w:numFmt w:val="lowerLetter"/>
      <w:lvlText w:val="%1)"/>
      <w:lvlJc w:val="left"/>
      <w:pPr>
        <w:ind w:left="720" w:hanging="360"/>
      </w:pPr>
      <w:rPr>
        <w:rFonts w:ascii="Arial" w:hAnsi="Arial" w:cs="Aria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C27"/>
    <w:rsid w:val="0000112E"/>
    <w:rsid w:val="0001090C"/>
    <w:rsid w:val="00011007"/>
    <w:rsid w:val="00016236"/>
    <w:rsid w:val="00016878"/>
    <w:rsid w:val="00033718"/>
    <w:rsid w:val="00035C9E"/>
    <w:rsid w:val="00036A9F"/>
    <w:rsid w:val="00036F4C"/>
    <w:rsid w:val="00045608"/>
    <w:rsid w:val="000517B4"/>
    <w:rsid w:val="0005466A"/>
    <w:rsid w:val="000546E9"/>
    <w:rsid w:val="00055DC9"/>
    <w:rsid w:val="0005773C"/>
    <w:rsid w:val="000618A1"/>
    <w:rsid w:val="00061E08"/>
    <w:rsid w:val="00071AB7"/>
    <w:rsid w:val="000847BE"/>
    <w:rsid w:val="00092CB3"/>
    <w:rsid w:val="000A2507"/>
    <w:rsid w:val="000A25B9"/>
    <w:rsid w:val="000A36F2"/>
    <w:rsid w:val="000A7072"/>
    <w:rsid w:val="000B4F31"/>
    <w:rsid w:val="000C3296"/>
    <w:rsid w:val="000D4C29"/>
    <w:rsid w:val="000F28BD"/>
    <w:rsid w:val="000F2DE9"/>
    <w:rsid w:val="000F4BFD"/>
    <w:rsid w:val="000F52C9"/>
    <w:rsid w:val="00110D0D"/>
    <w:rsid w:val="001128C0"/>
    <w:rsid w:val="00123DC4"/>
    <w:rsid w:val="0013337F"/>
    <w:rsid w:val="00136364"/>
    <w:rsid w:val="00143845"/>
    <w:rsid w:val="00145C00"/>
    <w:rsid w:val="00152C87"/>
    <w:rsid w:val="001539BB"/>
    <w:rsid w:val="00156059"/>
    <w:rsid w:val="00164530"/>
    <w:rsid w:val="001649C4"/>
    <w:rsid w:val="00164D0B"/>
    <w:rsid w:val="00171B0A"/>
    <w:rsid w:val="001731E9"/>
    <w:rsid w:val="00181DB6"/>
    <w:rsid w:val="00185B25"/>
    <w:rsid w:val="00185E42"/>
    <w:rsid w:val="00186F43"/>
    <w:rsid w:val="00196766"/>
    <w:rsid w:val="001A7389"/>
    <w:rsid w:val="001B311F"/>
    <w:rsid w:val="001C2C23"/>
    <w:rsid w:val="001C54E3"/>
    <w:rsid w:val="001D523F"/>
    <w:rsid w:val="001F4631"/>
    <w:rsid w:val="001F65EE"/>
    <w:rsid w:val="00200693"/>
    <w:rsid w:val="00202838"/>
    <w:rsid w:val="002031C2"/>
    <w:rsid w:val="00203FAC"/>
    <w:rsid w:val="002079C3"/>
    <w:rsid w:val="00213FD9"/>
    <w:rsid w:val="00214DA8"/>
    <w:rsid w:val="0021732A"/>
    <w:rsid w:val="00226ED1"/>
    <w:rsid w:val="00227A6B"/>
    <w:rsid w:val="00235F5B"/>
    <w:rsid w:val="00246E87"/>
    <w:rsid w:val="00257F72"/>
    <w:rsid w:val="00263137"/>
    <w:rsid w:val="002633EC"/>
    <w:rsid w:val="00271074"/>
    <w:rsid w:val="00273810"/>
    <w:rsid w:val="002743FB"/>
    <w:rsid w:val="00291FD4"/>
    <w:rsid w:val="0029316B"/>
    <w:rsid w:val="002A0E33"/>
    <w:rsid w:val="002A6C8D"/>
    <w:rsid w:val="002B00CF"/>
    <w:rsid w:val="002B1B1F"/>
    <w:rsid w:val="002B3348"/>
    <w:rsid w:val="002B4178"/>
    <w:rsid w:val="002B733E"/>
    <w:rsid w:val="002C03D7"/>
    <w:rsid w:val="002C75A1"/>
    <w:rsid w:val="002E3510"/>
    <w:rsid w:val="002E79AD"/>
    <w:rsid w:val="002E7C90"/>
    <w:rsid w:val="002F308F"/>
    <w:rsid w:val="002F3641"/>
    <w:rsid w:val="002F4A37"/>
    <w:rsid w:val="0031693C"/>
    <w:rsid w:val="003239D9"/>
    <w:rsid w:val="00332635"/>
    <w:rsid w:val="003354B5"/>
    <w:rsid w:val="003355A3"/>
    <w:rsid w:val="003363EB"/>
    <w:rsid w:val="00336975"/>
    <w:rsid w:val="00336B6F"/>
    <w:rsid w:val="00340035"/>
    <w:rsid w:val="0034301E"/>
    <w:rsid w:val="0035681D"/>
    <w:rsid w:val="00362FEB"/>
    <w:rsid w:val="00372B40"/>
    <w:rsid w:val="00383FDA"/>
    <w:rsid w:val="00390687"/>
    <w:rsid w:val="00390748"/>
    <w:rsid w:val="00394BB1"/>
    <w:rsid w:val="003A1D29"/>
    <w:rsid w:val="003A44C7"/>
    <w:rsid w:val="003A4D8D"/>
    <w:rsid w:val="003B1970"/>
    <w:rsid w:val="003C0D10"/>
    <w:rsid w:val="003C4CE1"/>
    <w:rsid w:val="003D074D"/>
    <w:rsid w:val="003E0DB1"/>
    <w:rsid w:val="003E5FD3"/>
    <w:rsid w:val="003F7663"/>
    <w:rsid w:val="003F7D9C"/>
    <w:rsid w:val="00403C35"/>
    <w:rsid w:val="00404995"/>
    <w:rsid w:val="00405D49"/>
    <w:rsid w:val="00427DDF"/>
    <w:rsid w:val="00431858"/>
    <w:rsid w:val="004330C1"/>
    <w:rsid w:val="00436DCD"/>
    <w:rsid w:val="00446496"/>
    <w:rsid w:val="0045044D"/>
    <w:rsid w:val="00451F75"/>
    <w:rsid w:val="0046281A"/>
    <w:rsid w:val="004806F6"/>
    <w:rsid w:val="004A11CF"/>
    <w:rsid w:val="004A7FF8"/>
    <w:rsid w:val="004B09B3"/>
    <w:rsid w:val="004B208E"/>
    <w:rsid w:val="004B3C6F"/>
    <w:rsid w:val="004B5968"/>
    <w:rsid w:val="004B5ADB"/>
    <w:rsid w:val="004C1740"/>
    <w:rsid w:val="004C65BF"/>
    <w:rsid w:val="004C7970"/>
    <w:rsid w:val="004C7DA8"/>
    <w:rsid w:val="004D6D2B"/>
    <w:rsid w:val="004E4024"/>
    <w:rsid w:val="004E72F8"/>
    <w:rsid w:val="004F3E3E"/>
    <w:rsid w:val="00510D75"/>
    <w:rsid w:val="00513A1F"/>
    <w:rsid w:val="00516701"/>
    <w:rsid w:val="00517C27"/>
    <w:rsid w:val="00525437"/>
    <w:rsid w:val="00527E73"/>
    <w:rsid w:val="00530035"/>
    <w:rsid w:val="00545FB3"/>
    <w:rsid w:val="005513E6"/>
    <w:rsid w:val="00555149"/>
    <w:rsid w:val="0056235C"/>
    <w:rsid w:val="00563E95"/>
    <w:rsid w:val="00572B56"/>
    <w:rsid w:val="0057559D"/>
    <w:rsid w:val="005767D1"/>
    <w:rsid w:val="00576B4D"/>
    <w:rsid w:val="00583E22"/>
    <w:rsid w:val="00591F75"/>
    <w:rsid w:val="005938FB"/>
    <w:rsid w:val="00596917"/>
    <w:rsid w:val="005B21E2"/>
    <w:rsid w:val="005E6974"/>
    <w:rsid w:val="005F0532"/>
    <w:rsid w:val="005F15D1"/>
    <w:rsid w:val="005F4B99"/>
    <w:rsid w:val="005F7460"/>
    <w:rsid w:val="00603A69"/>
    <w:rsid w:val="00604324"/>
    <w:rsid w:val="006066C7"/>
    <w:rsid w:val="006105ED"/>
    <w:rsid w:val="00611AE7"/>
    <w:rsid w:val="006150EE"/>
    <w:rsid w:val="00646FDB"/>
    <w:rsid w:val="006470D6"/>
    <w:rsid w:val="00652CE5"/>
    <w:rsid w:val="00660025"/>
    <w:rsid w:val="00663682"/>
    <w:rsid w:val="00664836"/>
    <w:rsid w:val="00675465"/>
    <w:rsid w:val="00684F65"/>
    <w:rsid w:val="00685C8E"/>
    <w:rsid w:val="0069165D"/>
    <w:rsid w:val="00694AB4"/>
    <w:rsid w:val="00694B5B"/>
    <w:rsid w:val="0069668E"/>
    <w:rsid w:val="006971B3"/>
    <w:rsid w:val="006A0705"/>
    <w:rsid w:val="006A3DB4"/>
    <w:rsid w:val="006A558F"/>
    <w:rsid w:val="006B26BB"/>
    <w:rsid w:val="006B4D34"/>
    <w:rsid w:val="006C2CAE"/>
    <w:rsid w:val="006C6BB9"/>
    <w:rsid w:val="006D4CDE"/>
    <w:rsid w:val="006D5FAC"/>
    <w:rsid w:val="006D7ECA"/>
    <w:rsid w:val="006E5021"/>
    <w:rsid w:val="006E74CF"/>
    <w:rsid w:val="006F398D"/>
    <w:rsid w:val="006F4CE4"/>
    <w:rsid w:val="00704A77"/>
    <w:rsid w:val="007124C4"/>
    <w:rsid w:val="007147E3"/>
    <w:rsid w:val="0071763D"/>
    <w:rsid w:val="0072124E"/>
    <w:rsid w:val="00732AB3"/>
    <w:rsid w:val="00732EB5"/>
    <w:rsid w:val="00746CAD"/>
    <w:rsid w:val="0075729A"/>
    <w:rsid w:val="00757C99"/>
    <w:rsid w:val="00762F38"/>
    <w:rsid w:val="007738EB"/>
    <w:rsid w:val="007752CA"/>
    <w:rsid w:val="00776EAE"/>
    <w:rsid w:val="00781198"/>
    <w:rsid w:val="00782602"/>
    <w:rsid w:val="0078667A"/>
    <w:rsid w:val="007873CE"/>
    <w:rsid w:val="007903D8"/>
    <w:rsid w:val="00794750"/>
    <w:rsid w:val="007B15BA"/>
    <w:rsid w:val="007B4AE3"/>
    <w:rsid w:val="007B6BDC"/>
    <w:rsid w:val="007C787D"/>
    <w:rsid w:val="007D0C43"/>
    <w:rsid w:val="007D1DEE"/>
    <w:rsid w:val="007D255F"/>
    <w:rsid w:val="007E1A91"/>
    <w:rsid w:val="007E2552"/>
    <w:rsid w:val="007E4BCF"/>
    <w:rsid w:val="007E6513"/>
    <w:rsid w:val="007F04A9"/>
    <w:rsid w:val="0080531D"/>
    <w:rsid w:val="00806DCC"/>
    <w:rsid w:val="008074D1"/>
    <w:rsid w:val="00811DB7"/>
    <w:rsid w:val="00814D35"/>
    <w:rsid w:val="008243DE"/>
    <w:rsid w:val="00824EFF"/>
    <w:rsid w:val="0083194E"/>
    <w:rsid w:val="00834204"/>
    <w:rsid w:val="00834372"/>
    <w:rsid w:val="008366F9"/>
    <w:rsid w:val="00843D1E"/>
    <w:rsid w:val="008443F0"/>
    <w:rsid w:val="00850D6D"/>
    <w:rsid w:val="008539B5"/>
    <w:rsid w:val="00860BEE"/>
    <w:rsid w:val="00861B6E"/>
    <w:rsid w:val="00872E70"/>
    <w:rsid w:val="00885613"/>
    <w:rsid w:val="008947C3"/>
    <w:rsid w:val="008A20C6"/>
    <w:rsid w:val="008A35BA"/>
    <w:rsid w:val="008A431B"/>
    <w:rsid w:val="008A58D4"/>
    <w:rsid w:val="008B12A0"/>
    <w:rsid w:val="008C3019"/>
    <w:rsid w:val="008C4B6B"/>
    <w:rsid w:val="008D188D"/>
    <w:rsid w:val="008D1C85"/>
    <w:rsid w:val="008D6157"/>
    <w:rsid w:val="008F14D5"/>
    <w:rsid w:val="008F2145"/>
    <w:rsid w:val="008F29DB"/>
    <w:rsid w:val="008F458D"/>
    <w:rsid w:val="0090101D"/>
    <w:rsid w:val="00923A01"/>
    <w:rsid w:val="009250AA"/>
    <w:rsid w:val="00927473"/>
    <w:rsid w:val="0093090B"/>
    <w:rsid w:val="00947041"/>
    <w:rsid w:val="00960DA3"/>
    <w:rsid w:val="009646F0"/>
    <w:rsid w:val="00966B10"/>
    <w:rsid w:val="0097227A"/>
    <w:rsid w:val="00976033"/>
    <w:rsid w:val="00983115"/>
    <w:rsid w:val="009846A8"/>
    <w:rsid w:val="00984FE3"/>
    <w:rsid w:val="00987F04"/>
    <w:rsid w:val="009920E1"/>
    <w:rsid w:val="00996C41"/>
    <w:rsid w:val="009A290D"/>
    <w:rsid w:val="009A4444"/>
    <w:rsid w:val="009B3D37"/>
    <w:rsid w:val="009C224A"/>
    <w:rsid w:val="009C3E10"/>
    <w:rsid w:val="009C5C8B"/>
    <w:rsid w:val="009C7587"/>
    <w:rsid w:val="009D401D"/>
    <w:rsid w:val="009D5CA1"/>
    <w:rsid w:val="009E28B9"/>
    <w:rsid w:val="009E56F0"/>
    <w:rsid w:val="009E7E5F"/>
    <w:rsid w:val="00A06B9A"/>
    <w:rsid w:val="00A16D3A"/>
    <w:rsid w:val="00A24149"/>
    <w:rsid w:val="00A32D99"/>
    <w:rsid w:val="00A32EBC"/>
    <w:rsid w:val="00A34084"/>
    <w:rsid w:val="00A34123"/>
    <w:rsid w:val="00A41408"/>
    <w:rsid w:val="00A4419B"/>
    <w:rsid w:val="00A46E4F"/>
    <w:rsid w:val="00A477AD"/>
    <w:rsid w:val="00A566E4"/>
    <w:rsid w:val="00A60592"/>
    <w:rsid w:val="00A61094"/>
    <w:rsid w:val="00A61312"/>
    <w:rsid w:val="00A61D75"/>
    <w:rsid w:val="00A66BA4"/>
    <w:rsid w:val="00A73C54"/>
    <w:rsid w:val="00A803A5"/>
    <w:rsid w:val="00A8273E"/>
    <w:rsid w:val="00A852D4"/>
    <w:rsid w:val="00A8658E"/>
    <w:rsid w:val="00A93397"/>
    <w:rsid w:val="00A9368B"/>
    <w:rsid w:val="00A937EF"/>
    <w:rsid w:val="00A9571F"/>
    <w:rsid w:val="00AB3711"/>
    <w:rsid w:val="00AB4A28"/>
    <w:rsid w:val="00AB686F"/>
    <w:rsid w:val="00AC4BD7"/>
    <w:rsid w:val="00AC5A21"/>
    <w:rsid w:val="00AD47B9"/>
    <w:rsid w:val="00AD5F85"/>
    <w:rsid w:val="00AD6AB9"/>
    <w:rsid w:val="00AE29BA"/>
    <w:rsid w:val="00AE6C0F"/>
    <w:rsid w:val="00AF45F0"/>
    <w:rsid w:val="00AF4A3D"/>
    <w:rsid w:val="00AF6319"/>
    <w:rsid w:val="00B0040E"/>
    <w:rsid w:val="00B00707"/>
    <w:rsid w:val="00B053E7"/>
    <w:rsid w:val="00B05949"/>
    <w:rsid w:val="00B16B39"/>
    <w:rsid w:val="00B21588"/>
    <w:rsid w:val="00B37123"/>
    <w:rsid w:val="00B37E5B"/>
    <w:rsid w:val="00B43532"/>
    <w:rsid w:val="00B44D26"/>
    <w:rsid w:val="00B53FD0"/>
    <w:rsid w:val="00B562C4"/>
    <w:rsid w:val="00B57D61"/>
    <w:rsid w:val="00B73517"/>
    <w:rsid w:val="00B92510"/>
    <w:rsid w:val="00BA20E5"/>
    <w:rsid w:val="00BB1A0B"/>
    <w:rsid w:val="00BC188A"/>
    <w:rsid w:val="00BD69C9"/>
    <w:rsid w:val="00BD7C0F"/>
    <w:rsid w:val="00BE34E6"/>
    <w:rsid w:val="00BF2940"/>
    <w:rsid w:val="00BF4C59"/>
    <w:rsid w:val="00BF58DD"/>
    <w:rsid w:val="00C02153"/>
    <w:rsid w:val="00C33F1C"/>
    <w:rsid w:val="00C36409"/>
    <w:rsid w:val="00C36BD8"/>
    <w:rsid w:val="00C404AF"/>
    <w:rsid w:val="00C50691"/>
    <w:rsid w:val="00C55BD1"/>
    <w:rsid w:val="00C671E0"/>
    <w:rsid w:val="00C77F7E"/>
    <w:rsid w:val="00C838FE"/>
    <w:rsid w:val="00C84A0C"/>
    <w:rsid w:val="00C91974"/>
    <w:rsid w:val="00C969AE"/>
    <w:rsid w:val="00C9715F"/>
    <w:rsid w:val="00C976B1"/>
    <w:rsid w:val="00CA091D"/>
    <w:rsid w:val="00CB229E"/>
    <w:rsid w:val="00CB3408"/>
    <w:rsid w:val="00CB5601"/>
    <w:rsid w:val="00CC4848"/>
    <w:rsid w:val="00CD11F5"/>
    <w:rsid w:val="00CD5D36"/>
    <w:rsid w:val="00CD6DA2"/>
    <w:rsid w:val="00CE1E92"/>
    <w:rsid w:val="00CE28D1"/>
    <w:rsid w:val="00CF37C1"/>
    <w:rsid w:val="00CF5F21"/>
    <w:rsid w:val="00CF63C3"/>
    <w:rsid w:val="00D0053C"/>
    <w:rsid w:val="00D05189"/>
    <w:rsid w:val="00D11FA0"/>
    <w:rsid w:val="00D15C0E"/>
    <w:rsid w:val="00D21113"/>
    <w:rsid w:val="00D2115A"/>
    <w:rsid w:val="00D37BD4"/>
    <w:rsid w:val="00D50847"/>
    <w:rsid w:val="00D57B2D"/>
    <w:rsid w:val="00D62A11"/>
    <w:rsid w:val="00D63FAE"/>
    <w:rsid w:val="00D650BB"/>
    <w:rsid w:val="00D65930"/>
    <w:rsid w:val="00D70F7F"/>
    <w:rsid w:val="00D72095"/>
    <w:rsid w:val="00D75DA7"/>
    <w:rsid w:val="00D76527"/>
    <w:rsid w:val="00D86F88"/>
    <w:rsid w:val="00DA3DA0"/>
    <w:rsid w:val="00DA4DA1"/>
    <w:rsid w:val="00DB1FFF"/>
    <w:rsid w:val="00DC0FC5"/>
    <w:rsid w:val="00DC5261"/>
    <w:rsid w:val="00DC79EC"/>
    <w:rsid w:val="00DD5497"/>
    <w:rsid w:val="00DD5E1C"/>
    <w:rsid w:val="00DD61CC"/>
    <w:rsid w:val="00DF7FCD"/>
    <w:rsid w:val="00E10FC1"/>
    <w:rsid w:val="00E14E28"/>
    <w:rsid w:val="00E251A9"/>
    <w:rsid w:val="00E2760B"/>
    <w:rsid w:val="00E429F5"/>
    <w:rsid w:val="00E522EF"/>
    <w:rsid w:val="00E54743"/>
    <w:rsid w:val="00E571B9"/>
    <w:rsid w:val="00E64202"/>
    <w:rsid w:val="00E666AB"/>
    <w:rsid w:val="00E6713F"/>
    <w:rsid w:val="00E70E3C"/>
    <w:rsid w:val="00E76BF6"/>
    <w:rsid w:val="00E86292"/>
    <w:rsid w:val="00E90EC4"/>
    <w:rsid w:val="00E92B53"/>
    <w:rsid w:val="00E96DE9"/>
    <w:rsid w:val="00E97B9B"/>
    <w:rsid w:val="00EA208B"/>
    <w:rsid w:val="00EB4E6D"/>
    <w:rsid w:val="00EB619D"/>
    <w:rsid w:val="00EC798C"/>
    <w:rsid w:val="00ED3BE7"/>
    <w:rsid w:val="00ED703D"/>
    <w:rsid w:val="00EE0941"/>
    <w:rsid w:val="00F03126"/>
    <w:rsid w:val="00F0765F"/>
    <w:rsid w:val="00F148AE"/>
    <w:rsid w:val="00F14A02"/>
    <w:rsid w:val="00F160F9"/>
    <w:rsid w:val="00F16F70"/>
    <w:rsid w:val="00F34B54"/>
    <w:rsid w:val="00F34F14"/>
    <w:rsid w:val="00F3652E"/>
    <w:rsid w:val="00F37801"/>
    <w:rsid w:val="00F40D69"/>
    <w:rsid w:val="00F42B33"/>
    <w:rsid w:val="00F4364C"/>
    <w:rsid w:val="00F469BD"/>
    <w:rsid w:val="00F57589"/>
    <w:rsid w:val="00F6102F"/>
    <w:rsid w:val="00F623B2"/>
    <w:rsid w:val="00F62559"/>
    <w:rsid w:val="00F64EB7"/>
    <w:rsid w:val="00F64ECB"/>
    <w:rsid w:val="00F67F42"/>
    <w:rsid w:val="00F7079F"/>
    <w:rsid w:val="00F731EC"/>
    <w:rsid w:val="00F77ECC"/>
    <w:rsid w:val="00F83FE5"/>
    <w:rsid w:val="00F85359"/>
    <w:rsid w:val="00F9167C"/>
    <w:rsid w:val="00FA065F"/>
    <w:rsid w:val="00FB603E"/>
    <w:rsid w:val="00FC09B9"/>
    <w:rsid w:val="00FC6957"/>
    <w:rsid w:val="00FD0439"/>
    <w:rsid w:val="00FD4F89"/>
    <w:rsid w:val="00FE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EF616D1"/>
  <w14:defaultImageDpi w14:val="0"/>
  <w15:docId w15:val="{67033C69-28C5-4207-8D13-7078DF7A9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517C27"/>
    <w:rPr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qFormat/>
    <w:rsid w:val="00517C2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semiHidden/>
    <w:locked/>
    <w:rsid w:val="00517C27"/>
    <w:rPr>
      <w:rFonts w:ascii="Cambria" w:hAnsi="Cambria" w:cs="Times New Roman"/>
      <w:b/>
      <w:sz w:val="26"/>
      <w:lang w:val="pt-BR" w:eastAsia="pt-BR"/>
    </w:rPr>
  </w:style>
  <w:style w:type="character" w:styleId="Nmerodepgina">
    <w:name w:val="page number"/>
    <w:basedOn w:val="Fontepargpadro"/>
    <w:uiPriority w:val="99"/>
    <w:rsid w:val="00517C27"/>
    <w:rPr>
      <w:rFonts w:cs="Times New Roman"/>
    </w:rPr>
  </w:style>
  <w:style w:type="paragraph" w:styleId="Cabealho">
    <w:name w:val="header"/>
    <w:basedOn w:val="Normal"/>
    <w:link w:val="CabealhoChar"/>
    <w:uiPriority w:val="99"/>
    <w:rsid w:val="00517C2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17C27"/>
    <w:rPr>
      <w:rFonts w:cs="Times New Roman"/>
      <w:sz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rsid w:val="00927473"/>
    <w:rPr>
      <w:rFonts w:ascii="Tahoma" w:hAnsi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927473"/>
    <w:rPr>
      <w:rFonts w:ascii="Tahoma" w:hAnsi="Tahoma" w:cs="Times New Roman"/>
      <w:sz w:val="16"/>
    </w:rPr>
  </w:style>
  <w:style w:type="character" w:styleId="Refdecomentrio">
    <w:name w:val="annotation reference"/>
    <w:basedOn w:val="Fontepargpadro"/>
    <w:uiPriority w:val="99"/>
    <w:rsid w:val="009A4444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9A4444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locked/>
    <w:rsid w:val="009A4444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9A444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locked/>
    <w:rsid w:val="009A4444"/>
    <w:rPr>
      <w:rFonts w:cs="Times New Roman"/>
      <w:b/>
    </w:rPr>
  </w:style>
  <w:style w:type="paragraph" w:customStyle="1" w:styleId="Default">
    <w:name w:val="Default"/>
    <w:rsid w:val="00291FD4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eastAsia="en-US"/>
    </w:rPr>
  </w:style>
  <w:style w:type="paragraph" w:styleId="PargrafodaLista">
    <w:name w:val="List Paragraph"/>
    <w:basedOn w:val="Normal"/>
    <w:uiPriority w:val="34"/>
    <w:qFormat/>
    <w:rsid w:val="008B12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D11FA0"/>
    <w:pPr>
      <w:spacing w:before="100" w:beforeAutospacing="1" w:after="100" w:afterAutospacing="1"/>
    </w:pPr>
  </w:style>
  <w:style w:type="paragraph" w:styleId="Rodap">
    <w:name w:val="footer"/>
    <w:basedOn w:val="Normal"/>
    <w:link w:val="RodapChar"/>
    <w:uiPriority w:val="99"/>
    <w:rsid w:val="0053003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30035"/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ustomXml" Target="../customXml/item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customXml" Target="../customXml/item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E124BFD-9190-4BF9-BB9A-08B9B5FFC55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BD0FFF2-0A24-4781-A8E7-AA33E6DE5B44}"/>
</file>

<file path=customXml/itemProps3.xml><?xml version="1.0" encoding="utf-8"?>
<ds:datastoreItem xmlns:ds="http://schemas.openxmlformats.org/officeDocument/2006/customXml" ds:itemID="{C3E09294-090D-426A-930A-CA379D518C0D}"/>
</file>

<file path=customXml/itemProps4.xml><?xml version="1.0" encoding="utf-8"?>
<ds:datastoreItem xmlns:ds="http://schemas.openxmlformats.org/officeDocument/2006/customXml" ds:itemID="{AD7C4DD1-6AC3-4637-971C-B808F8ADF18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13</Pages>
  <Words>3833</Words>
  <Characters>22448</Characters>
  <Application>Microsoft Office Word</Application>
  <DocSecurity>0</DocSecurity>
  <Lines>187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Proposta de RDC</vt:lpstr>
    </vt:vector>
  </TitlesOfParts>
  <Company>anvs</Company>
  <LinksUpToDate>false</LinksUpToDate>
  <CharactersWithSpaces>26229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Proposta de RDC</dc:title>
  <dc:subject/>
  <dc:creator>Maria Fernanda Reis e Silva Thees</dc:creator>
  <cp:keywords/>
  <dc:description/>
  <cp:lastModifiedBy>Raianne Liberal Coutinho</cp:lastModifiedBy>
  <cp:revision>3</cp:revision>
  <cp:lastPrinted>2017-09-21T21:13:00Z</cp:lastPrinted>
  <dcterms:created xsi:type="dcterms:W3CDTF">2017-11-09T17:34:00Z</dcterms:created>
  <dcterms:modified xsi:type="dcterms:W3CDTF">2017-11-09T17:37:00Z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