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63678B" w:rsidRDefault="00CE296B" w:rsidP="0063678B">
      <w:pPr>
        <w:jc w:val="center"/>
        <w:rPr>
          <w:rFonts w:ascii="Times New Roman" w:hAnsi="Times New Roman" w:cs="Times New Roman"/>
          <w:b/>
          <w:szCs w:val="24"/>
        </w:rPr>
      </w:pPr>
      <w:r w:rsidRPr="0063678B">
        <w:rPr>
          <w:rFonts w:ascii="Times New Roman" w:hAnsi="Times New Roman" w:cs="Times New Roman"/>
          <w:b/>
          <w:szCs w:val="24"/>
        </w:rPr>
        <w:t xml:space="preserve">RESOLUÇÃO </w:t>
      </w:r>
      <w:r w:rsidR="0063678B" w:rsidRPr="0063678B">
        <w:rPr>
          <w:rFonts w:ascii="Times New Roman" w:hAnsi="Times New Roman" w:cs="Times New Roman"/>
          <w:b/>
          <w:szCs w:val="24"/>
        </w:rPr>
        <w:t xml:space="preserve">DA DIRETORIA COLEGIADA </w:t>
      </w:r>
      <w:r w:rsidRPr="0063678B">
        <w:rPr>
          <w:rFonts w:ascii="Times New Roman" w:hAnsi="Times New Roman" w:cs="Times New Roman"/>
          <w:b/>
          <w:szCs w:val="24"/>
        </w:rPr>
        <w:t>– RDC Nº 210, DE 02 DE SETEMBRO DE 2004</w:t>
      </w:r>
      <w:r w:rsidR="00112CB7" w:rsidRPr="0063678B">
        <w:rPr>
          <w:rFonts w:ascii="Times New Roman" w:hAnsi="Times New Roman" w:cs="Times New Roman"/>
          <w:b/>
          <w:szCs w:val="24"/>
        </w:rPr>
        <w:t xml:space="preserve"> (*)</w:t>
      </w:r>
    </w:p>
    <w:p w:rsidR="00CE296B" w:rsidRDefault="00CE296B" w:rsidP="0063678B">
      <w:pPr>
        <w:jc w:val="center"/>
        <w:rPr>
          <w:rFonts w:ascii="Times New Roman" w:hAnsi="Times New Roman" w:cs="Times New Roman"/>
          <w:b/>
          <w:color w:val="0000FF"/>
          <w:sz w:val="24"/>
          <w:szCs w:val="24"/>
        </w:rPr>
      </w:pPr>
      <w:r w:rsidRPr="0063678B">
        <w:rPr>
          <w:rFonts w:ascii="Times New Roman" w:hAnsi="Times New Roman" w:cs="Times New Roman"/>
          <w:b/>
          <w:color w:val="0000FF"/>
          <w:sz w:val="24"/>
          <w:szCs w:val="24"/>
        </w:rPr>
        <w:t xml:space="preserve">(Publicada </w:t>
      </w:r>
      <w:r w:rsidR="00D12AE7">
        <w:rPr>
          <w:rFonts w:ascii="Times New Roman" w:hAnsi="Times New Roman" w:cs="Times New Roman"/>
          <w:b/>
          <w:color w:val="0000FF"/>
          <w:sz w:val="24"/>
          <w:szCs w:val="24"/>
        </w:rPr>
        <w:t>no</w:t>
      </w:r>
      <w:r w:rsidRPr="0063678B">
        <w:rPr>
          <w:rFonts w:ascii="Times New Roman" w:hAnsi="Times New Roman" w:cs="Times New Roman"/>
          <w:b/>
          <w:color w:val="0000FF"/>
          <w:sz w:val="24"/>
          <w:szCs w:val="24"/>
        </w:rPr>
        <w:t xml:space="preserve"> DOU nº 171, de 03 de setembro de 2004)</w:t>
      </w:r>
    </w:p>
    <w:p w:rsidR="00D12AE7" w:rsidRPr="0063678B" w:rsidRDefault="00D12AE7" w:rsidP="0063678B">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(Republicada no DOU nº 173, de 08 de setembro de 2004)</w:t>
      </w:r>
    </w:p>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609"/>
      </w:tblGrid>
      <w:tr w:rsidR="00546AE3" w:rsidRPr="0063678B" w:rsidTr="0063678B">
        <w:trPr>
          <w:jc w:val="right"/>
        </w:trPr>
        <w:tc>
          <w:tcPr>
            <w:tcW w:w="4035" w:type="dxa"/>
          </w:tcPr>
          <w:p w:rsidR="00546AE3" w:rsidRPr="0063678B" w:rsidRDefault="00546AE3" w:rsidP="0063678B">
            <w:pPr>
              <w:jc w:val="both"/>
              <w:rPr>
                <w:rFonts w:ascii="Times New Roman" w:hAnsi="Times New Roman" w:cs="Times New Roman"/>
                <w:b/>
                <w:color w:val="0000FF"/>
                <w:sz w:val="24"/>
                <w:szCs w:val="24"/>
              </w:rPr>
            </w:pPr>
          </w:p>
        </w:tc>
        <w:tc>
          <w:tcPr>
            <w:tcW w:w="4609" w:type="dxa"/>
          </w:tcPr>
          <w:p w:rsidR="00546AE3" w:rsidRPr="0063678B" w:rsidRDefault="00522909" w:rsidP="0063678B">
            <w:pPr>
              <w:jc w:val="both"/>
              <w:rPr>
                <w:rFonts w:ascii="Times New Roman" w:hAnsi="Times New Roman" w:cs="Times New Roman"/>
                <w:b/>
                <w:color w:val="0000FF"/>
                <w:sz w:val="24"/>
                <w:szCs w:val="24"/>
              </w:rPr>
            </w:pPr>
            <w:r w:rsidRPr="0063678B">
              <w:rPr>
                <w:rFonts w:ascii="Times New Roman" w:hAnsi="Times New Roman" w:cs="Times New Roman"/>
                <w:sz w:val="24"/>
                <w:szCs w:val="24"/>
              </w:rPr>
              <w:t xml:space="preserve">Dá nova redação a artigos das Resoluções - </w:t>
            </w:r>
            <w:proofErr w:type="spellStart"/>
            <w:r w:rsidRPr="0063678B">
              <w:rPr>
                <w:rFonts w:ascii="Times New Roman" w:hAnsi="Times New Roman" w:cs="Times New Roman"/>
                <w:sz w:val="24"/>
                <w:szCs w:val="24"/>
              </w:rPr>
              <w:t>RDCs</w:t>
            </w:r>
            <w:proofErr w:type="spellEnd"/>
            <w:r w:rsidRPr="0063678B">
              <w:rPr>
                <w:rFonts w:ascii="Times New Roman" w:hAnsi="Times New Roman" w:cs="Times New Roman"/>
                <w:sz w:val="24"/>
                <w:szCs w:val="24"/>
              </w:rPr>
              <w:t xml:space="preserve"> </w:t>
            </w:r>
            <w:proofErr w:type="spellStart"/>
            <w:r w:rsidRPr="0063678B">
              <w:rPr>
                <w:rFonts w:ascii="Times New Roman" w:hAnsi="Times New Roman" w:cs="Times New Roman"/>
                <w:sz w:val="24"/>
                <w:szCs w:val="24"/>
              </w:rPr>
              <w:t>nºs</w:t>
            </w:r>
            <w:proofErr w:type="spellEnd"/>
            <w:r w:rsidRPr="0063678B">
              <w:rPr>
                <w:rFonts w:ascii="Times New Roman" w:hAnsi="Times New Roman" w:cs="Times New Roman"/>
                <w:sz w:val="24"/>
                <w:szCs w:val="24"/>
              </w:rPr>
              <w:t xml:space="preserve"> 136, 134 e 133, de 29 de maio de 2003.</w:t>
            </w:r>
          </w:p>
        </w:tc>
      </w:tr>
    </w:tbl>
    <w:p w:rsidR="002D69FE" w:rsidRPr="0063678B" w:rsidRDefault="00217B03" w:rsidP="0063678B">
      <w:pPr>
        <w:spacing w:before="300" w:after="300" w:line="240" w:lineRule="auto"/>
        <w:ind w:firstLine="573"/>
        <w:jc w:val="both"/>
        <w:rPr>
          <w:rFonts w:ascii="Times New Roman" w:hAnsi="Times New Roman" w:cs="Times New Roman"/>
          <w:sz w:val="24"/>
          <w:szCs w:val="24"/>
        </w:rPr>
      </w:pPr>
      <w:r w:rsidRPr="0063678B">
        <w:rPr>
          <w:rFonts w:ascii="Times New Roman" w:hAnsi="Times New Roman" w:cs="Times New Roman"/>
          <w:sz w:val="24"/>
          <w:szCs w:val="24"/>
        </w:rPr>
        <w:t xml:space="preserve">A </w:t>
      </w:r>
      <w:r w:rsidRPr="0063678B">
        <w:rPr>
          <w:rFonts w:ascii="Times New Roman" w:hAnsi="Times New Roman" w:cs="Times New Roman"/>
          <w:b/>
          <w:sz w:val="24"/>
          <w:szCs w:val="24"/>
        </w:rPr>
        <w:t>Diretoria Colegiada da Agência Nacional de Vigilância Sanitária</w:t>
      </w:r>
      <w:r w:rsidRPr="0063678B">
        <w:rPr>
          <w:rFonts w:ascii="Times New Roman" w:hAnsi="Times New Roman" w:cs="Times New Roman"/>
          <w:sz w:val="24"/>
          <w:szCs w:val="24"/>
        </w:rPr>
        <w:t xml:space="preserve">, no uso da atribuição que lhe confere o art. 11, inciso IV, do Regulamento da Agência Nacional de Vigilância Sanitária, aprovado pelo Decreto n.º 3.029, de 16 de abril de 1999, c/c o art. 8º, inciso IV, do Regimento Interno aprovado pela Portaria nº 593 de 25 de agosto de 2000, em reunião realizada em 30 de agosto de 2004, adota a seguinte Resolução da Diretoria Colegiada e eu, Diretor-Presidente, determino a sua publicação: </w:t>
      </w:r>
    </w:p>
    <w:p w:rsidR="002D69FE" w:rsidRPr="0063678B" w:rsidRDefault="00217B03" w:rsidP="0063678B">
      <w:pPr>
        <w:spacing w:before="300" w:after="300" w:line="240" w:lineRule="auto"/>
        <w:ind w:firstLine="573"/>
        <w:jc w:val="both"/>
        <w:rPr>
          <w:rFonts w:ascii="Times New Roman" w:hAnsi="Times New Roman" w:cs="Times New Roman"/>
          <w:strike/>
          <w:sz w:val="24"/>
          <w:szCs w:val="24"/>
        </w:rPr>
      </w:pPr>
      <w:r w:rsidRPr="0063678B">
        <w:rPr>
          <w:rFonts w:ascii="Times New Roman" w:hAnsi="Times New Roman" w:cs="Times New Roman"/>
          <w:strike/>
          <w:sz w:val="24"/>
          <w:szCs w:val="24"/>
        </w:rPr>
        <w:t xml:space="preserve">Art. 1° A alínea “e” do item 2 do inciso II - Do Registro, do Regulamento Técnico para Medicamentos Novos ou Inovadores com Princípios Ativos Sintéticos ou </w:t>
      </w:r>
      <w:proofErr w:type="spellStart"/>
      <w:r w:rsidRPr="0063678B">
        <w:rPr>
          <w:rFonts w:ascii="Times New Roman" w:hAnsi="Times New Roman" w:cs="Times New Roman"/>
          <w:strike/>
          <w:sz w:val="24"/>
          <w:szCs w:val="24"/>
        </w:rPr>
        <w:t>Semi-Sintéticos</w:t>
      </w:r>
      <w:proofErr w:type="spellEnd"/>
      <w:r w:rsidRPr="0063678B">
        <w:rPr>
          <w:rFonts w:ascii="Times New Roman" w:hAnsi="Times New Roman" w:cs="Times New Roman"/>
          <w:strike/>
          <w:sz w:val="24"/>
          <w:szCs w:val="24"/>
        </w:rPr>
        <w:t xml:space="preserve">, anexo da Resolução RDC n° 136, de 29 de maio de 2003, passa a vigorar com a seguinte redação: </w:t>
      </w:r>
      <w:r w:rsidR="004C3528" w:rsidRPr="0063678B">
        <w:rPr>
          <w:rFonts w:ascii="Times New Roman" w:hAnsi="Times New Roman" w:cs="Times New Roman"/>
          <w:b/>
          <w:color w:val="0000FF"/>
          <w:sz w:val="24"/>
          <w:szCs w:val="24"/>
        </w:rPr>
        <w:t>(Revogado pela Resolução – RDC nº 60 de 10 de outubro de 2014)</w:t>
      </w:r>
      <w:r w:rsidR="000C509B">
        <w:rPr>
          <w:rFonts w:ascii="Times New Roman" w:hAnsi="Times New Roman" w:cs="Times New Roman"/>
          <w:b/>
          <w:color w:val="0000FF"/>
          <w:sz w:val="24"/>
          <w:szCs w:val="24"/>
        </w:rPr>
        <w:t xml:space="preserve"> </w:t>
      </w:r>
    </w:p>
    <w:p w:rsidR="008225BB" w:rsidRDefault="00217B03" w:rsidP="000C509B">
      <w:pPr>
        <w:spacing w:before="300" w:after="300" w:line="240" w:lineRule="auto"/>
        <w:ind w:firstLine="573"/>
        <w:jc w:val="both"/>
        <w:rPr>
          <w:rFonts w:ascii="Times New Roman" w:hAnsi="Times New Roman" w:cs="Times New Roman"/>
          <w:b/>
          <w:color w:val="0000FF"/>
          <w:sz w:val="24"/>
          <w:szCs w:val="24"/>
        </w:rPr>
      </w:pPr>
      <w:r w:rsidRPr="0063678B">
        <w:rPr>
          <w:rFonts w:ascii="Times New Roman" w:hAnsi="Times New Roman" w:cs="Times New Roman"/>
          <w:strike/>
          <w:sz w:val="24"/>
          <w:szCs w:val="24"/>
        </w:rPr>
        <w:t xml:space="preserve">“ II - DO REGISTRO </w:t>
      </w:r>
      <w:r w:rsidR="004C3528" w:rsidRPr="0063678B">
        <w:rPr>
          <w:rFonts w:ascii="Times New Roman" w:hAnsi="Times New Roman" w:cs="Times New Roman"/>
          <w:b/>
          <w:color w:val="0000FF"/>
          <w:sz w:val="24"/>
          <w:szCs w:val="24"/>
        </w:rPr>
        <w:t>(Revogado pela Resolução – RDC nº 60 de 10 de outubro de 2014)</w:t>
      </w:r>
      <w:r w:rsidR="000C509B" w:rsidRPr="000C509B">
        <w:rPr>
          <w:rFonts w:ascii="Times New Roman" w:hAnsi="Times New Roman" w:cs="Times New Roman"/>
          <w:b/>
          <w:color w:val="0000FF"/>
          <w:sz w:val="24"/>
          <w:szCs w:val="24"/>
        </w:rPr>
        <w:t xml:space="preserve"> </w:t>
      </w:r>
    </w:p>
    <w:p w:rsidR="008225BB" w:rsidRDefault="00217B03" w:rsidP="000C509B">
      <w:pPr>
        <w:spacing w:before="300" w:after="300" w:line="240" w:lineRule="auto"/>
        <w:ind w:firstLine="573"/>
        <w:jc w:val="both"/>
        <w:rPr>
          <w:rFonts w:ascii="Times New Roman" w:hAnsi="Times New Roman" w:cs="Times New Roman"/>
          <w:b/>
          <w:color w:val="0000FF"/>
          <w:sz w:val="24"/>
          <w:szCs w:val="24"/>
        </w:rPr>
      </w:pPr>
      <w:r w:rsidRPr="0063678B">
        <w:rPr>
          <w:rFonts w:ascii="Times New Roman" w:hAnsi="Times New Roman" w:cs="Times New Roman"/>
          <w:strike/>
          <w:sz w:val="24"/>
          <w:szCs w:val="24"/>
        </w:rPr>
        <w:t xml:space="preserve">2 ................................................................................................ </w:t>
      </w:r>
      <w:r w:rsidR="004C3528" w:rsidRPr="0063678B">
        <w:rPr>
          <w:rFonts w:ascii="Times New Roman" w:hAnsi="Times New Roman" w:cs="Times New Roman"/>
          <w:b/>
          <w:color w:val="0000FF"/>
          <w:sz w:val="24"/>
          <w:szCs w:val="24"/>
        </w:rPr>
        <w:t>(Revogado pela Resolução – RDC nº 60 de 10 de outubro de 2014)</w:t>
      </w:r>
      <w:r w:rsidR="000C509B" w:rsidRPr="000C509B">
        <w:rPr>
          <w:rFonts w:ascii="Times New Roman" w:hAnsi="Times New Roman" w:cs="Times New Roman"/>
          <w:b/>
          <w:color w:val="0000FF"/>
          <w:sz w:val="24"/>
          <w:szCs w:val="24"/>
        </w:rPr>
        <w:t xml:space="preserve"> </w:t>
      </w:r>
    </w:p>
    <w:p w:rsidR="008225BB" w:rsidRDefault="00217B03" w:rsidP="000C509B">
      <w:pPr>
        <w:spacing w:before="300" w:after="300" w:line="240" w:lineRule="auto"/>
        <w:ind w:firstLine="573"/>
        <w:jc w:val="both"/>
        <w:rPr>
          <w:rFonts w:ascii="Times New Roman" w:hAnsi="Times New Roman" w:cs="Times New Roman"/>
          <w:b/>
          <w:color w:val="0000FF"/>
          <w:sz w:val="24"/>
          <w:szCs w:val="24"/>
        </w:rPr>
      </w:pPr>
      <w:proofErr w:type="gramStart"/>
      <w:r w:rsidRPr="0063678B">
        <w:rPr>
          <w:rFonts w:ascii="Times New Roman" w:hAnsi="Times New Roman" w:cs="Times New Roman"/>
          <w:strike/>
          <w:sz w:val="24"/>
          <w:szCs w:val="24"/>
        </w:rPr>
        <w:t>e) No</w:t>
      </w:r>
      <w:proofErr w:type="gramEnd"/>
      <w:r w:rsidRPr="0063678B">
        <w:rPr>
          <w:rFonts w:ascii="Times New Roman" w:hAnsi="Times New Roman" w:cs="Times New Roman"/>
          <w:strike/>
          <w:sz w:val="24"/>
          <w:szCs w:val="24"/>
        </w:rPr>
        <w:t xml:space="preserve"> caso de medicamentos que consistam em: - combinações de princípios ativos diferentes em uma mesma forma farmacêutica, doravante denominados combinações em dose fixa; </w:t>
      </w:r>
      <w:r w:rsidR="004C3528" w:rsidRPr="0063678B">
        <w:rPr>
          <w:rFonts w:ascii="Times New Roman" w:hAnsi="Times New Roman" w:cs="Times New Roman"/>
          <w:b/>
          <w:color w:val="0000FF"/>
          <w:sz w:val="24"/>
          <w:szCs w:val="24"/>
        </w:rPr>
        <w:t>(Revogado pela Resolução – RDC nº 60 de 10 de outubro de 2014)</w:t>
      </w:r>
      <w:r w:rsidR="000C509B" w:rsidRPr="000C509B">
        <w:rPr>
          <w:rFonts w:ascii="Times New Roman" w:hAnsi="Times New Roman" w:cs="Times New Roman"/>
          <w:b/>
          <w:color w:val="0000FF"/>
          <w:sz w:val="24"/>
          <w:szCs w:val="24"/>
        </w:rPr>
        <w:t xml:space="preserve"> </w:t>
      </w:r>
    </w:p>
    <w:p w:rsidR="008225BB" w:rsidRDefault="00217B03" w:rsidP="000C509B">
      <w:pPr>
        <w:spacing w:before="300" w:after="300" w:line="240" w:lineRule="auto"/>
        <w:ind w:firstLine="573"/>
        <w:jc w:val="both"/>
        <w:rPr>
          <w:rFonts w:ascii="Times New Roman" w:hAnsi="Times New Roman" w:cs="Times New Roman"/>
          <w:b/>
          <w:color w:val="0000FF"/>
          <w:sz w:val="24"/>
          <w:szCs w:val="24"/>
        </w:rPr>
      </w:pPr>
      <w:r w:rsidRPr="0063678B">
        <w:rPr>
          <w:rFonts w:ascii="Times New Roman" w:hAnsi="Times New Roman" w:cs="Times New Roman"/>
          <w:strike/>
          <w:sz w:val="24"/>
          <w:szCs w:val="24"/>
        </w:rPr>
        <w:t xml:space="preserve">- </w:t>
      </w:r>
      <w:proofErr w:type="gramStart"/>
      <w:r w:rsidRPr="0063678B">
        <w:rPr>
          <w:rFonts w:ascii="Times New Roman" w:hAnsi="Times New Roman" w:cs="Times New Roman"/>
          <w:strike/>
          <w:sz w:val="24"/>
          <w:szCs w:val="24"/>
        </w:rPr>
        <w:t>duas</w:t>
      </w:r>
      <w:proofErr w:type="gramEnd"/>
      <w:r w:rsidRPr="0063678B">
        <w:rPr>
          <w:rFonts w:ascii="Times New Roman" w:hAnsi="Times New Roman" w:cs="Times New Roman"/>
          <w:strike/>
          <w:sz w:val="24"/>
          <w:szCs w:val="24"/>
        </w:rPr>
        <w:t xml:space="preserve"> ou mais apresentações em uma mesma embalagem, para uso concomitante ou </w:t>
      </w:r>
      <w:proofErr w:type="spellStart"/>
      <w:r w:rsidRPr="0063678B">
        <w:rPr>
          <w:rFonts w:ascii="Times New Roman" w:hAnsi="Times New Roman" w:cs="Times New Roman"/>
          <w:strike/>
          <w:sz w:val="24"/>
          <w:szCs w:val="24"/>
        </w:rPr>
        <w:t>seqüencial</w:t>
      </w:r>
      <w:proofErr w:type="spellEnd"/>
      <w:r w:rsidRPr="0063678B">
        <w:rPr>
          <w:rFonts w:ascii="Times New Roman" w:hAnsi="Times New Roman" w:cs="Times New Roman"/>
          <w:strike/>
          <w:sz w:val="24"/>
          <w:szCs w:val="24"/>
        </w:rPr>
        <w:t xml:space="preserve">; </w:t>
      </w:r>
      <w:r w:rsidR="004C3528" w:rsidRPr="0063678B">
        <w:rPr>
          <w:rFonts w:ascii="Times New Roman" w:hAnsi="Times New Roman" w:cs="Times New Roman"/>
          <w:b/>
          <w:color w:val="0000FF"/>
          <w:sz w:val="24"/>
          <w:szCs w:val="24"/>
        </w:rPr>
        <w:t>(Revogado pela Resolução – RDC nº 60 de 10 de outubro de 2014)</w:t>
      </w:r>
      <w:r w:rsidR="000C509B" w:rsidRPr="000C509B">
        <w:rPr>
          <w:rFonts w:ascii="Times New Roman" w:hAnsi="Times New Roman" w:cs="Times New Roman"/>
          <w:b/>
          <w:color w:val="0000FF"/>
          <w:sz w:val="24"/>
          <w:szCs w:val="24"/>
        </w:rPr>
        <w:t xml:space="preserve"> </w:t>
      </w:r>
    </w:p>
    <w:p w:rsidR="000C509B" w:rsidRPr="0063678B" w:rsidRDefault="00217B03" w:rsidP="000C509B">
      <w:pPr>
        <w:spacing w:before="300" w:after="300" w:line="240" w:lineRule="auto"/>
        <w:ind w:firstLine="573"/>
        <w:jc w:val="both"/>
        <w:rPr>
          <w:rFonts w:ascii="Times New Roman" w:hAnsi="Times New Roman" w:cs="Times New Roman"/>
          <w:strike/>
          <w:sz w:val="24"/>
          <w:szCs w:val="24"/>
        </w:rPr>
      </w:pPr>
      <w:bookmarkStart w:id="0" w:name="_GoBack"/>
      <w:bookmarkEnd w:id="0"/>
      <w:r w:rsidRPr="0063678B">
        <w:rPr>
          <w:rFonts w:ascii="Times New Roman" w:hAnsi="Times New Roman" w:cs="Times New Roman"/>
          <w:strike/>
          <w:sz w:val="24"/>
          <w:szCs w:val="24"/>
        </w:rPr>
        <w:t xml:space="preserve">além dos demais itens o proponente deve apresentar justificativa de sua racionalidade e, quando aplicável, o resultado dos seguintes estudos: </w:t>
      </w:r>
      <w:r w:rsidR="004C3528" w:rsidRPr="0063678B">
        <w:rPr>
          <w:rFonts w:ascii="Times New Roman" w:hAnsi="Times New Roman" w:cs="Times New Roman"/>
          <w:b/>
          <w:color w:val="0000FF"/>
          <w:sz w:val="24"/>
          <w:szCs w:val="24"/>
        </w:rPr>
        <w:t>(Revogado pela Resolução – RDC nº 60 de 10 de outubro de 2014)</w:t>
      </w:r>
      <w:r w:rsidR="000C509B" w:rsidRPr="000C509B">
        <w:rPr>
          <w:rFonts w:ascii="Times New Roman" w:hAnsi="Times New Roman" w:cs="Times New Roman"/>
          <w:b/>
          <w:color w:val="0000FF"/>
          <w:sz w:val="24"/>
          <w:szCs w:val="24"/>
        </w:rPr>
        <w:t xml:space="preserve"> </w:t>
      </w:r>
    </w:p>
    <w:p w:rsidR="008225BB" w:rsidRDefault="00217B03" w:rsidP="000C509B">
      <w:pPr>
        <w:spacing w:before="300" w:after="300" w:line="240" w:lineRule="auto"/>
        <w:ind w:firstLine="573"/>
        <w:jc w:val="both"/>
        <w:rPr>
          <w:rFonts w:ascii="Times New Roman" w:hAnsi="Times New Roman" w:cs="Times New Roman"/>
          <w:b/>
          <w:color w:val="0000FF"/>
          <w:sz w:val="24"/>
          <w:szCs w:val="24"/>
        </w:rPr>
      </w:pPr>
      <w:proofErr w:type="gramStart"/>
      <w:r w:rsidRPr="0063678B">
        <w:rPr>
          <w:rFonts w:ascii="Times New Roman" w:hAnsi="Times New Roman" w:cs="Times New Roman"/>
          <w:strike/>
          <w:sz w:val="24"/>
          <w:szCs w:val="24"/>
        </w:rPr>
        <w:t>biodisponibilidade</w:t>
      </w:r>
      <w:proofErr w:type="gramEnd"/>
      <w:r w:rsidRPr="0063678B">
        <w:rPr>
          <w:rFonts w:ascii="Times New Roman" w:hAnsi="Times New Roman" w:cs="Times New Roman"/>
          <w:strike/>
          <w:sz w:val="24"/>
          <w:szCs w:val="24"/>
        </w:rPr>
        <w:t xml:space="preserve"> relativa entre a combinação em dose fixa e cada princípio ativo isolado que a componha; </w:t>
      </w:r>
      <w:r w:rsidR="004C3528" w:rsidRPr="0063678B">
        <w:rPr>
          <w:rFonts w:ascii="Times New Roman" w:hAnsi="Times New Roman" w:cs="Times New Roman"/>
          <w:b/>
          <w:color w:val="0000FF"/>
          <w:sz w:val="24"/>
          <w:szCs w:val="24"/>
        </w:rPr>
        <w:t>(Revogado pela Resolução – RDC nº 60 de 10 de outubro de 2014)</w:t>
      </w:r>
      <w:r w:rsidR="000C509B" w:rsidRPr="000C509B">
        <w:rPr>
          <w:rFonts w:ascii="Times New Roman" w:hAnsi="Times New Roman" w:cs="Times New Roman"/>
          <w:b/>
          <w:color w:val="0000FF"/>
          <w:sz w:val="24"/>
          <w:szCs w:val="24"/>
        </w:rPr>
        <w:t xml:space="preserve"> </w:t>
      </w:r>
    </w:p>
    <w:p w:rsidR="000C509B" w:rsidRPr="0063678B" w:rsidRDefault="00217B03" w:rsidP="000C509B">
      <w:pPr>
        <w:spacing w:before="300" w:after="300" w:line="240" w:lineRule="auto"/>
        <w:ind w:firstLine="573"/>
        <w:jc w:val="both"/>
        <w:rPr>
          <w:rFonts w:ascii="Times New Roman" w:hAnsi="Times New Roman" w:cs="Times New Roman"/>
          <w:strike/>
          <w:sz w:val="24"/>
          <w:szCs w:val="24"/>
        </w:rPr>
      </w:pPr>
      <w:proofErr w:type="gramStart"/>
      <w:r w:rsidRPr="0063678B">
        <w:rPr>
          <w:rFonts w:ascii="Times New Roman" w:hAnsi="Times New Roman" w:cs="Times New Roman"/>
          <w:strike/>
          <w:sz w:val="24"/>
          <w:szCs w:val="24"/>
        </w:rPr>
        <w:t>ensaios</w:t>
      </w:r>
      <w:proofErr w:type="gramEnd"/>
      <w:r w:rsidRPr="0063678B">
        <w:rPr>
          <w:rFonts w:ascii="Times New Roman" w:hAnsi="Times New Roman" w:cs="Times New Roman"/>
          <w:strike/>
          <w:sz w:val="24"/>
          <w:szCs w:val="24"/>
        </w:rPr>
        <w:t xml:space="preserve"> clínicos controlados para cada indicação terapêutica, com prova de que combinações com as mesmas doses tenham efeitos aditivo ou sinérgico sem aumento de riscos quando comparados com cada princípio ativo isoladamente ou com combinações entre eles com um número menor de princípios ativos, ou que a combinação com dose menor de pelo menos um dos princípios ativos obtenha o mesmo benefício com riscos iguais ou menores quando comparados com uma </w:t>
      </w:r>
      <w:r w:rsidRPr="0063678B">
        <w:rPr>
          <w:rFonts w:ascii="Times New Roman" w:hAnsi="Times New Roman" w:cs="Times New Roman"/>
          <w:strike/>
          <w:sz w:val="24"/>
          <w:szCs w:val="24"/>
        </w:rPr>
        <w:lastRenderedPageBreak/>
        <w:t xml:space="preserve">combinação com doses conhecidas. Em casos particulares, desde que haja justificativa técnica ou ética convincente, os estudos clínicos podem ser suprimidos, substituídos ou complementados por outros com delineamento alternativo. Serão admitidos no máximo até três princípios ativos na mesma formulação por apresentação oral ou injetável, ou quatro se um deles for de cafeína”. (NR) </w:t>
      </w:r>
      <w:r w:rsidR="004C3528" w:rsidRPr="0063678B">
        <w:rPr>
          <w:rFonts w:ascii="Times New Roman" w:hAnsi="Times New Roman" w:cs="Times New Roman"/>
          <w:b/>
          <w:color w:val="0000FF"/>
          <w:sz w:val="24"/>
          <w:szCs w:val="24"/>
        </w:rPr>
        <w:t>(Revogado pela Resolução – RDC nº 60 de 10 de outubro de 2014)</w:t>
      </w:r>
      <w:r w:rsidR="000C509B">
        <w:rPr>
          <w:rFonts w:ascii="Times New Roman" w:hAnsi="Times New Roman" w:cs="Times New Roman"/>
          <w:b/>
          <w:color w:val="0000FF"/>
          <w:sz w:val="24"/>
          <w:szCs w:val="24"/>
        </w:rPr>
        <w:t xml:space="preserve"> </w:t>
      </w:r>
    </w:p>
    <w:p w:rsidR="002D69FE" w:rsidRPr="0063678B" w:rsidRDefault="00217B03" w:rsidP="0063678B">
      <w:pPr>
        <w:spacing w:before="300" w:after="300" w:line="240" w:lineRule="auto"/>
        <w:ind w:firstLine="573"/>
        <w:jc w:val="both"/>
        <w:rPr>
          <w:rFonts w:ascii="Times New Roman" w:hAnsi="Times New Roman" w:cs="Times New Roman"/>
          <w:sz w:val="24"/>
          <w:szCs w:val="24"/>
        </w:rPr>
      </w:pPr>
      <w:r w:rsidRPr="0063678B">
        <w:rPr>
          <w:rFonts w:ascii="Times New Roman" w:hAnsi="Times New Roman" w:cs="Times New Roman"/>
          <w:sz w:val="24"/>
          <w:szCs w:val="24"/>
        </w:rPr>
        <w:t>Art. 2° O artigo 6° da Resolução RDC n° 134, de 29 de maio de 2003, passa a vigorar com a seguinte redação:</w:t>
      </w:r>
    </w:p>
    <w:p w:rsidR="002D69FE" w:rsidRPr="0063678B" w:rsidRDefault="00217B03" w:rsidP="0063678B">
      <w:pPr>
        <w:spacing w:before="300" w:after="300" w:line="240" w:lineRule="auto"/>
        <w:ind w:firstLine="573"/>
        <w:jc w:val="both"/>
        <w:rPr>
          <w:rFonts w:ascii="Times New Roman" w:hAnsi="Times New Roman" w:cs="Times New Roman"/>
          <w:sz w:val="24"/>
          <w:szCs w:val="24"/>
        </w:rPr>
      </w:pPr>
      <w:r w:rsidRPr="0063678B">
        <w:rPr>
          <w:rFonts w:ascii="Times New Roman" w:hAnsi="Times New Roman" w:cs="Times New Roman"/>
          <w:sz w:val="24"/>
          <w:szCs w:val="24"/>
        </w:rPr>
        <w:t>“Art. 6º Por ocasião da primeira renovação, os detentores de registros de medicamentos enquadrados como similares, únicos no mercado (exceto os produtos que hoje estão registrados como novos e os já definidos como referência), cujo vencimento dar-se-á após 1° de dezembro de 2004, deverão apresentar, sob forma de complementação de informação, relatório de ensaios clínicos para comprovar a eficácia terapêutica (fase III) ou dados de literatura que comprovem a eficácia e segurança, através de estudos clínicos publicados em revistas indexadas (</w:t>
      </w:r>
      <w:proofErr w:type="spellStart"/>
      <w:r w:rsidRPr="0063678B">
        <w:rPr>
          <w:rFonts w:ascii="Times New Roman" w:hAnsi="Times New Roman" w:cs="Times New Roman"/>
          <w:sz w:val="24"/>
          <w:szCs w:val="24"/>
        </w:rPr>
        <w:t>Medline</w:t>
      </w:r>
      <w:proofErr w:type="spellEnd"/>
      <w:r w:rsidRPr="0063678B">
        <w:rPr>
          <w:rFonts w:ascii="Times New Roman" w:hAnsi="Times New Roman" w:cs="Times New Roman"/>
          <w:sz w:val="24"/>
          <w:szCs w:val="24"/>
        </w:rPr>
        <w:t xml:space="preserve">, </w:t>
      </w:r>
      <w:proofErr w:type="spellStart"/>
      <w:r w:rsidRPr="0063678B">
        <w:rPr>
          <w:rFonts w:ascii="Times New Roman" w:hAnsi="Times New Roman" w:cs="Times New Roman"/>
          <w:sz w:val="24"/>
          <w:szCs w:val="24"/>
        </w:rPr>
        <w:t>Chemical</w:t>
      </w:r>
      <w:proofErr w:type="spellEnd"/>
      <w:r w:rsidRPr="0063678B">
        <w:rPr>
          <w:rFonts w:ascii="Times New Roman" w:hAnsi="Times New Roman" w:cs="Times New Roman"/>
          <w:sz w:val="24"/>
          <w:szCs w:val="24"/>
        </w:rPr>
        <w:t xml:space="preserve"> Abstracts, </w:t>
      </w:r>
      <w:proofErr w:type="spellStart"/>
      <w:r w:rsidRPr="0063678B">
        <w:rPr>
          <w:rFonts w:ascii="Times New Roman" w:hAnsi="Times New Roman" w:cs="Times New Roman"/>
          <w:sz w:val="24"/>
          <w:szCs w:val="24"/>
        </w:rPr>
        <w:t>Biosis</w:t>
      </w:r>
      <w:proofErr w:type="spellEnd"/>
      <w:r w:rsidRPr="0063678B">
        <w:rPr>
          <w:rFonts w:ascii="Times New Roman" w:hAnsi="Times New Roman" w:cs="Times New Roman"/>
          <w:sz w:val="24"/>
          <w:szCs w:val="24"/>
        </w:rPr>
        <w:t xml:space="preserve">, </w:t>
      </w:r>
      <w:proofErr w:type="spellStart"/>
      <w:r w:rsidRPr="0063678B">
        <w:rPr>
          <w:rFonts w:ascii="Times New Roman" w:hAnsi="Times New Roman" w:cs="Times New Roman"/>
          <w:sz w:val="24"/>
          <w:szCs w:val="24"/>
        </w:rPr>
        <w:t>International</w:t>
      </w:r>
      <w:proofErr w:type="spellEnd"/>
      <w:r w:rsidRPr="0063678B">
        <w:rPr>
          <w:rFonts w:ascii="Times New Roman" w:hAnsi="Times New Roman" w:cs="Times New Roman"/>
          <w:sz w:val="24"/>
          <w:szCs w:val="24"/>
        </w:rPr>
        <w:t xml:space="preserve"> </w:t>
      </w:r>
      <w:proofErr w:type="spellStart"/>
      <w:r w:rsidRPr="0063678B">
        <w:rPr>
          <w:rFonts w:ascii="Times New Roman" w:hAnsi="Times New Roman" w:cs="Times New Roman"/>
          <w:sz w:val="24"/>
          <w:szCs w:val="24"/>
        </w:rPr>
        <w:t>Pharmaceutical</w:t>
      </w:r>
      <w:proofErr w:type="spellEnd"/>
      <w:r w:rsidRPr="0063678B">
        <w:rPr>
          <w:rFonts w:ascii="Times New Roman" w:hAnsi="Times New Roman" w:cs="Times New Roman"/>
          <w:sz w:val="24"/>
          <w:szCs w:val="24"/>
        </w:rPr>
        <w:t xml:space="preserve"> Abstracts ou </w:t>
      </w:r>
      <w:proofErr w:type="spellStart"/>
      <w:r w:rsidRPr="0063678B">
        <w:rPr>
          <w:rFonts w:ascii="Times New Roman" w:hAnsi="Times New Roman" w:cs="Times New Roman"/>
          <w:sz w:val="24"/>
          <w:szCs w:val="24"/>
        </w:rPr>
        <w:t>Biological</w:t>
      </w:r>
      <w:proofErr w:type="spellEnd"/>
      <w:r w:rsidRPr="0063678B">
        <w:rPr>
          <w:rFonts w:ascii="Times New Roman" w:hAnsi="Times New Roman" w:cs="Times New Roman"/>
          <w:sz w:val="24"/>
          <w:szCs w:val="24"/>
        </w:rPr>
        <w:t xml:space="preserve"> </w:t>
      </w:r>
      <w:proofErr w:type="spellStart"/>
      <w:r w:rsidRPr="0063678B">
        <w:rPr>
          <w:rFonts w:ascii="Times New Roman" w:hAnsi="Times New Roman" w:cs="Times New Roman"/>
          <w:sz w:val="24"/>
          <w:szCs w:val="24"/>
        </w:rPr>
        <w:t>Abstratcts</w:t>
      </w:r>
      <w:proofErr w:type="spellEnd"/>
      <w:r w:rsidRPr="0063678B">
        <w:rPr>
          <w:rFonts w:ascii="Times New Roman" w:hAnsi="Times New Roman" w:cs="Times New Roman"/>
          <w:sz w:val="24"/>
          <w:szCs w:val="24"/>
        </w:rPr>
        <w:t xml:space="preserve">). No caso de combinações de princípios ativos diferentes em uma mesma forma farmacêutica, ou duas ou mais apresentações em uma mesma embalagem, para uso concomitante ou </w:t>
      </w:r>
      <w:proofErr w:type="spellStart"/>
      <w:r w:rsidRPr="0063678B">
        <w:rPr>
          <w:rFonts w:ascii="Times New Roman" w:hAnsi="Times New Roman" w:cs="Times New Roman"/>
          <w:sz w:val="24"/>
          <w:szCs w:val="24"/>
        </w:rPr>
        <w:t>seqüencial</w:t>
      </w:r>
      <w:proofErr w:type="spellEnd"/>
      <w:r w:rsidRPr="0063678B">
        <w:rPr>
          <w:rFonts w:ascii="Times New Roman" w:hAnsi="Times New Roman" w:cs="Times New Roman"/>
          <w:sz w:val="24"/>
          <w:szCs w:val="24"/>
        </w:rPr>
        <w:t xml:space="preserve">, o proponente deve apresentar justificativa de sua racionalidade. </w:t>
      </w:r>
    </w:p>
    <w:p w:rsidR="002D69FE" w:rsidRPr="0063678B" w:rsidRDefault="00217B03" w:rsidP="0063678B">
      <w:pPr>
        <w:spacing w:before="300" w:after="300" w:line="240" w:lineRule="auto"/>
        <w:ind w:firstLine="573"/>
        <w:jc w:val="both"/>
        <w:rPr>
          <w:rFonts w:ascii="Times New Roman" w:hAnsi="Times New Roman" w:cs="Times New Roman"/>
          <w:sz w:val="24"/>
          <w:szCs w:val="24"/>
        </w:rPr>
      </w:pPr>
      <w:r w:rsidRPr="0063678B">
        <w:rPr>
          <w:rFonts w:ascii="Times New Roman" w:hAnsi="Times New Roman" w:cs="Times New Roman"/>
          <w:sz w:val="24"/>
          <w:szCs w:val="24"/>
        </w:rPr>
        <w:t xml:space="preserve">§ 1° O enquadramento dos produtos conforme o caput deste artigo assegura a não apresentação de testes de equivalência farmacêutica e biodisponibilidade relativa e destaque no Compêndio de Bulas de Medicamentos da ANVISA. </w:t>
      </w:r>
    </w:p>
    <w:p w:rsidR="002D69FE" w:rsidRPr="0063678B" w:rsidRDefault="00217B03" w:rsidP="0063678B">
      <w:pPr>
        <w:spacing w:before="300" w:after="300" w:line="240" w:lineRule="auto"/>
        <w:ind w:firstLine="573"/>
        <w:jc w:val="both"/>
        <w:rPr>
          <w:rFonts w:ascii="Times New Roman" w:hAnsi="Times New Roman" w:cs="Times New Roman"/>
          <w:sz w:val="24"/>
          <w:szCs w:val="24"/>
        </w:rPr>
      </w:pPr>
      <w:r w:rsidRPr="0063678B">
        <w:rPr>
          <w:rFonts w:ascii="Times New Roman" w:hAnsi="Times New Roman" w:cs="Times New Roman"/>
          <w:sz w:val="24"/>
          <w:szCs w:val="24"/>
        </w:rPr>
        <w:t xml:space="preserve">§ 2° Caso a empresa opte por apresentar estudos clínicos de eficácia que nesta ocasião já estejam em fase de coleta de dados, apresentar comprovante do estágio do estudo e cronograma para seu encerramento”. (NR) </w:t>
      </w:r>
    </w:p>
    <w:p w:rsidR="002D69FE" w:rsidRPr="0063678B" w:rsidRDefault="00217B03" w:rsidP="0063678B">
      <w:pPr>
        <w:spacing w:before="300" w:after="300" w:line="240" w:lineRule="auto"/>
        <w:ind w:firstLine="573"/>
        <w:jc w:val="both"/>
        <w:rPr>
          <w:rFonts w:ascii="Times New Roman" w:hAnsi="Times New Roman" w:cs="Times New Roman"/>
          <w:sz w:val="24"/>
          <w:szCs w:val="24"/>
        </w:rPr>
      </w:pPr>
      <w:r w:rsidRPr="0063678B">
        <w:rPr>
          <w:rFonts w:ascii="Times New Roman" w:hAnsi="Times New Roman" w:cs="Times New Roman"/>
          <w:sz w:val="24"/>
          <w:szCs w:val="24"/>
        </w:rPr>
        <w:t xml:space="preserve">Art. 3° O artigo 9° da Resolução RDC n° 134, de 29 de maio de 2003, republicada em 25 de setembro de 2004, passa a vigorar com a seguinte redação: </w:t>
      </w:r>
    </w:p>
    <w:p w:rsidR="00E669A2" w:rsidRPr="0063678B" w:rsidRDefault="00217B03" w:rsidP="0063678B">
      <w:pPr>
        <w:spacing w:before="300" w:after="300" w:line="240" w:lineRule="auto"/>
        <w:ind w:firstLine="573"/>
        <w:jc w:val="both"/>
        <w:rPr>
          <w:rFonts w:ascii="Times New Roman" w:hAnsi="Times New Roman" w:cs="Times New Roman"/>
          <w:sz w:val="24"/>
          <w:szCs w:val="24"/>
        </w:rPr>
      </w:pPr>
      <w:r w:rsidRPr="0063678B">
        <w:rPr>
          <w:rFonts w:ascii="Times New Roman" w:hAnsi="Times New Roman" w:cs="Times New Roman"/>
          <w:sz w:val="24"/>
          <w:szCs w:val="24"/>
        </w:rPr>
        <w:t>“Art. 9º No prazo de até 18 (dezoito) meses a contar de 2 de junho de 2003, os detentores de registro de medicamentos similares contendo os princípios ativos listados abaixo, isolados ou em associações e ainda nas formas de todos os seus sais e isômeros, devem apresentar os resultados de estudos de biodisponibilidade relativa no formato proposto pelo GUIA PARA ELABORAÇÃO DE RELATÓRIO TÉCNICO DE ESTUDO DE BIODISPONIBILIDADE RELATIVA/BIOEQUIVALÊNCIA. Nestes casos a empresa está desobrigada a submeter a este estudo o mesmo lote a ser submetido à equivalência farmacêutica por ocasião da primeira renovação.</w:t>
      </w:r>
    </w:p>
    <w:tbl>
      <w:tblPr>
        <w:tblStyle w:val="Tabelacomgrade"/>
        <w:tblW w:w="0" w:type="auto"/>
        <w:jc w:val="center"/>
        <w:tblLook w:val="04A0" w:firstRow="1" w:lastRow="0" w:firstColumn="1" w:lastColumn="0" w:noHBand="0" w:noVBand="1"/>
      </w:tblPr>
      <w:tblGrid>
        <w:gridCol w:w="2206"/>
        <w:gridCol w:w="3414"/>
        <w:gridCol w:w="3433"/>
      </w:tblGrid>
      <w:tr w:rsidR="00D51F6B" w:rsidRPr="0063678B" w:rsidTr="007A5A5E">
        <w:trPr>
          <w:jc w:val="center"/>
        </w:trPr>
        <w:tc>
          <w:tcPr>
            <w:tcW w:w="2206" w:type="dxa"/>
          </w:tcPr>
          <w:p w:rsidR="00D51F6B" w:rsidRPr="0063678B" w:rsidRDefault="00D51F6B" w:rsidP="0063678B">
            <w:pPr>
              <w:spacing w:before="300" w:after="300"/>
              <w:contextualSpacing/>
              <w:jc w:val="both"/>
              <w:rPr>
                <w:rFonts w:ascii="Times New Roman" w:hAnsi="Times New Roman" w:cs="Times New Roman"/>
                <w:b/>
                <w:color w:val="0000FF"/>
                <w:sz w:val="24"/>
                <w:szCs w:val="24"/>
              </w:rPr>
            </w:pPr>
            <w:r w:rsidRPr="0063678B">
              <w:rPr>
                <w:rFonts w:ascii="Times New Roman" w:hAnsi="Times New Roman" w:cs="Times New Roman"/>
                <w:sz w:val="24"/>
                <w:szCs w:val="24"/>
              </w:rPr>
              <w:t>Princípio Ativo</w:t>
            </w:r>
          </w:p>
        </w:tc>
        <w:tc>
          <w:tcPr>
            <w:tcW w:w="3414" w:type="dxa"/>
          </w:tcPr>
          <w:p w:rsidR="00D51F6B" w:rsidRPr="0063678B" w:rsidRDefault="00C9613C" w:rsidP="0063678B">
            <w:pPr>
              <w:spacing w:before="300" w:after="300"/>
              <w:contextualSpacing/>
              <w:jc w:val="both"/>
              <w:rPr>
                <w:rFonts w:ascii="Times New Roman" w:hAnsi="Times New Roman" w:cs="Times New Roman"/>
                <w:b/>
                <w:color w:val="0000FF"/>
                <w:sz w:val="24"/>
                <w:szCs w:val="24"/>
              </w:rPr>
            </w:pPr>
            <w:r w:rsidRPr="0063678B">
              <w:rPr>
                <w:rFonts w:ascii="Times New Roman" w:hAnsi="Times New Roman" w:cs="Times New Roman"/>
                <w:sz w:val="24"/>
                <w:szCs w:val="24"/>
              </w:rPr>
              <w:t>Forma farmacêutica</w:t>
            </w:r>
          </w:p>
        </w:tc>
        <w:tc>
          <w:tcPr>
            <w:tcW w:w="3433" w:type="dxa"/>
          </w:tcPr>
          <w:p w:rsidR="00D51F6B" w:rsidRPr="0063678B" w:rsidRDefault="00C9613C" w:rsidP="0063678B">
            <w:pPr>
              <w:spacing w:before="300" w:after="300"/>
              <w:contextualSpacing/>
              <w:jc w:val="both"/>
              <w:rPr>
                <w:rFonts w:ascii="Times New Roman" w:hAnsi="Times New Roman" w:cs="Times New Roman"/>
                <w:b/>
                <w:color w:val="0000FF"/>
                <w:sz w:val="24"/>
                <w:szCs w:val="24"/>
              </w:rPr>
            </w:pPr>
            <w:r w:rsidRPr="0063678B">
              <w:rPr>
                <w:rFonts w:ascii="Times New Roman" w:hAnsi="Times New Roman" w:cs="Times New Roman"/>
                <w:sz w:val="24"/>
                <w:szCs w:val="24"/>
              </w:rPr>
              <w:t>Referência</w:t>
            </w:r>
          </w:p>
        </w:tc>
      </w:tr>
      <w:tr w:rsidR="00D51F6B" w:rsidRPr="0063678B" w:rsidTr="007A5A5E">
        <w:trPr>
          <w:jc w:val="center"/>
        </w:trPr>
        <w:tc>
          <w:tcPr>
            <w:tcW w:w="2206" w:type="dxa"/>
          </w:tcPr>
          <w:p w:rsidR="00D51F6B" w:rsidRPr="0063678B" w:rsidRDefault="00D51F6B" w:rsidP="0063678B">
            <w:pPr>
              <w:spacing w:before="300" w:after="300"/>
              <w:contextualSpacing/>
              <w:jc w:val="both"/>
              <w:rPr>
                <w:rFonts w:ascii="Times New Roman" w:hAnsi="Times New Roman" w:cs="Times New Roman"/>
                <w:sz w:val="24"/>
                <w:szCs w:val="24"/>
              </w:rPr>
            </w:pPr>
          </w:p>
        </w:tc>
        <w:tc>
          <w:tcPr>
            <w:tcW w:w="3414" w:type="dxa"/>
          </w:tcPr>
          <w:p w:rsidR="00D51F6B" w:rsidRPr="0063678B" w:rsidRDefault="00D51F6B" w:rsidP="0063678B">
            <w:pPr>
              <w:spacing w:before="300" w:after="300"/>
              <w:contextualSpacing/>
              <w:jc w:val="both"/>
              <w:rPr>
                <w:rFonts w:ascii="Times New Roman" w:hAnsi="Times New Roman" w:cs="Times New Roman"/>
                <w:b/>
                <w:color w:val="0000FF"/>
                <w:sz w:val="24"/>
                <w:szCs w:val="24"/>
              </w:rPr>
            </w:pPr>
          </w:p>
        </w:tc>
        <w:tc>
          <w:tcPr>
            <w:tcW w:w="3433" w:type="dxa"/>
          </w:tcPr>
          <w:p w:rsidR="00D51F6B" w:rsidRPr="0063678B" w:rsidRDefault="00D51F6B" w:rsidP="0063678B">
            <w:pPr>
              <w:spacing w:before="300" w:after="300"/>
              <w:contextualSpacing/>
              <w:jc w:val="both"/>
              <w:rPr>
                <w:rFonts w:ascii="Times New Roman" w:hAnsi="Times New Roman" w:cs="Times New Roman"/>
                <w:b/>
                <w:color w:val="0000FF"/>
                <w:sz w:val="24"/>
                <w:szCs w:val="24"/>
              </w:rPr>
            </w:pPr>
          </w:p>
        </w:tc>
      </w:tr>
      <w:tr w:rsidR="00D51F6B" w:rsidRPr="0063678B" w:rsidTr="007A5A5E">
        <w:trPr>
          <w:jc w:val="center"/>
        </w:trPr>
        <w:tc>
          <w:tcPr>
            <w:tcW w:w="2206" w:type="dxa"/>
          </w:tcPr>
          <w:p w:rsidR="00D51F6B" w:rsidRPr="0063678B" w:rsidRDefault="001924D2" w:rsidP="0063678B">
            <w:pPr>
              <w:spacing w:before="300" w:after="300"/>
              <w:contextualSpacing/>
              <w:jc w:val="both"/>
              <w:rPr>
                <w:rFonts w:ascii="Times New Roman" w:hAnsi="Times New Roman" w:cs="Times New Roman"/>
                <w:sz w:val="24"/>
                <w:szCs w:val="24"/>
              </w:rPr>
            </w:pPr>
            <w:proofErr w:type="spellStart"/>
            <w:r w:rsidRPr="0063678B">
              <w:rPr>
                <w:rFonts w:ascii="Times New Roman" w:hAnsi="Times New Roman" w:cs="Times New Roman"/>
                <w:sz w:val="24"/>
                <w:szCs w:val="24"/>
              </w:rPr>
              <w:t>Àcido</w:t>
            </w:r>
            <w:proofErr w:type="spellEnd"/>
            <w:r w:rsidRPr="0063678B">
              <w:rPr>
                <w:rFonts w:ascii="Times New Roman" w:hAnsi="Times New Roman" w:cs="Times New Roman"/>
                <w:sz w:val="24"/>
                <w:szCs w:val="24"/>
              </w:rPr>
              <w:t xml:space="preserve"> </w:t>
            </w:r>
            <w:proofErr w:type="spellStart"/>
            <w:r w:rsidRPr="0063678B">
              <w:rPr>
                <w:rFonts w:ascii="Times New Roman" w:hAnsi="Times New Roman" w:cs="Times New Roman"/>
                <w:sz w:val="24"/>
                <w:szCs w:val="24"/>
              </w:rPr>
              <w:t>valpróico</w:t>
            </w:r>
            <w:proofErr w:type="spellEnd"/>
          </w:p>
        </w:tc>
        <w:tc>
          <w:tcPr>
            <w:tcW w:w="3414" w:type="dxa"/>
          </w:tcPr>
          <w:p w:rsidR="00D51F6B" w:rsidRPr="0063678B" w:rsidRDefault="00C9613C" w:rsidP="0063678B">
            <w:pPr>
              <w:spacing w:before="300" w:after="300"/>
              <w:contextualSpacing/>
              <w:jc w:val="both"/>
              <w:rPr>
                <w:rFonts w:ascii="Times New Roman" w:hAnsi="Times New Roman" w:cs="Times New Roman"/>
                <w:b/>
                <w:color w:val="0000FF"/>
                <w:sz w:val="24"/>
                <w:szCs w:val="24"/>
              </w:rPr>
            </w:pPr>
            <w:r w:rsidRPr="0063678B">
              <w:rPr>
                <w:rFonts w:ascii="Times New Roman" w:hAnsi="Times New Roman" w:cs="Times New Roman"/>
                <w:sz w:val="24"/>
                <w:szCs w:val="24"/>
              </w:rPr>
              <w:t>Cápsulas</w:t>
            </w:r>
          </w:p>
        </w:tc>
        <w:tc>
          <w:tcPr>
            <w:tcW w:w="3433" w:type="dxa"/>
          </w:tcPr>
          <w:p w:rsidR="00D51F6B"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Depakene</w:t>
            </w:r>
            <w:proofErr w:type="spellEnd"/>
            <w:r w:rsidRPr="0063678B">
              <w:rPr>
                <w:rFonts w:ascii="Times New Roman" w:hAnsi="Times New Roman" w:cs="Times New Roman"/>
                <w:sz w:val="24"/>
                <w:szCs w:val="24"/>
              </w:rPr>
              <w:t xml:space="preserve"> - </w:t>
            </w:r>
            <w:proofErr w:type="spellStart"/>
            <w:r w:rsidRPr="0063678B">
              <w:rPr>
                <w:rFonts w:ascii="Times New Roman" w:hAnsi="Times New Roman" w:cs="Times New Roman"/>
                <w:sz w:val="24"/>
                <w:szCs w:val="24"/>
              </w:rPr>
              <w:t>Abbott</w:t>
            </w:r>
            <w:proofErr w:type="spellEnd"/>
          </w:p>
        </w:tc>
      </w:tr>
      <w:tr w:rsidR="00D51F6B" w:rsidRPr="0063678B" w:rsidTr="007A5A5E">
        <w:trPr>
          <w:jc w:val="center"/>
        </w:trPr>
        <w:tc>
          <w:tcPr>
            <w:tcW w:w="2206" w:type="dxa"/>
          </w:tcPr>
          <w:p w:rsidR="00D51F6B" w:rsidRPr="0063678B" w:rsidRDefault="001924D2" w:rsidP="0063678B">
            <w:pPr>
              <w:spacing w:before="300" w:after="300"/>
              <w:contextualSpacing/>
              <w:jc w:val="both"/>
              <w:rPr>
                <w:rFonts w:ascii="Times New Roman" w:hAnsi="Times New Roman" w:cs="Times New Roman"/>
                <w:sz w:val="24"/>
                <w:szCs w:val="24"/>
              </w:rPr>
            </w:pPr>
            <w:proofErr w:type="spellStart"/>
            <w:r w:rsidRPr="0063678B">
              <w:rPr>
                <w:rFonts w:ascii="Times New Roman" w:hAnsi="Times New Roman" w:cs="Times New Roman"/>
                <w:sz w:val="24"/>
                <w:szCs w:val="24"/>
              </w:rPr>
              <w:t>Aminofilina</w:t>
            </w:r>
            <w:proofErr w:type="spellEnd"/>
          </w:p>
        </w:tc>
        <w:tc>
          <w:tcPr>
            <w:tcW w:w="3414" w:type="dxa"/>
          </w:tcPr>
          <w:p w:rsidR="00D51F6B" w:rsidRPr="0063678B" w:rsidRDefault="00C9613C" w:rsidP="0063678B">
            <w:pPr>
              <w:spacing w:before="300" w:after="300"/>
              <w:contextualSpacing/>
              <w:jc w:val="both"/>
              <w:rPr>
                <w:rFonts w:ascii="Times New Roman" w:hAnsi="Times New Roman" w:cs="Times New Roman"/>
                <w:b/>
                <w:color w:val="0000FF"/>
                <w:sz w:val="24"/>
                <w:szCs w:val="24"/>
              </w:rPr>
            </w:pPr>
            <w:r w:rsidRPr="0063678B">
              <w:rPr>
                <w:rFonts w:ascii="Times New Roman" w:hAnsi="Times New Roman" w:cs="Times New Roman"/>
                <w:sz w:val="24"/>
                <w:szCs w:val="24"/>
              </w:rPr>
              <w:t>Comprimidos</w:t>
            </w:r>
          </w:p>
        </w:tc>
        <w:tc>
          <w:tcPr>
            <w:tcW w:w="3433" w:type="dxa"/>
          </w:tcPr>
          <w:p w:rsidR="00D51F6B"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Aminofilina</w:t>
            </w:r>
            <w:proofErr w:type="spellEnd"/>
            <w:r w:rsidRPr="0063678B">
              <w:rPr>
                <w:rFonts w:ascii="Times New Roman" w:hAnsi="Times New Roman" w:cs="Times New Roman"/>
                <w:sz w:val="24"/>
                <w:szCs w:val="24"/>
              </w:rPr>
              <w:t xml:space="preserve"> - Novartis</w:t>
            </w:r>
          </w:p>
        </w:tc>
      </w:tr>
      <w:tr w:rsidR="00D51F6B" w:rsidRPr="0063678B" w:rsidTr="007A5A5E">
        <w:trPr>
          <w:jc w:val="center"/>
        </w:trPr>
        <w:tc>
          <w:tcPr>
            <w:tcW w:w="2206" w:type="dxa"/>
          </w:tcPr>
          <w:p w:rsidR="00D51F6B" w:rsidRPr="0063678B" w:rsidRDefault="001924D2" w:rsidP="0063678B">
            <w:pPr>
              <w:spacing w:before="300" w:after="300"/>
              <w:contextualSpacing/>
              <w:jc w:val="both"/>
              <w:rPr>
                <w:rFonts w:ascii="Times New Roman" w:hAnsi="Times New Roman" w:cs="Times New Roman"/>
                <w:sz w:val="24"/>
                <w:szCs w:val="24"/>
              </w:rPr>
            </w:pPr>
            <w:proofErr w:type="spellStart"/>
            <w:r w:rsidRPr="0063678B">
              <w:rPr>
                <w:rFonts w:ascii="Times New Roman" w:hAnsi="Times New Roman" w:cs="Times New Roman"/>
                <w:sz w:val="24"/>
                <w:szCs w:val="24"/>
              </w:rPr>
              <w:t>Carbamazepina</w:t>
            </w:r>
            <w:proofErr w:type="spellEnd"/>
          </w:p>
        </w:tc>
        <w:tc>
          <w:tcPr>
            <w:tcW w:w="3414" w:type="dxa"/>
          </w:tcPr>
          <w:p w:rsidR="00D51F6B" w:rsidRPr="0063678B" w:rsidRDefault="00C9613C" w:rsidP="0063678B">
            <w:pPr>
              <w:spacing w:before="300" w:after="300"/>
              <w:contextualSpacing/>
              <w:jc w:val="both"/>
              <w:rPr>
                <w:rFonts w:ascii="Times New Roman" w:hAnsi="Times New Roman" w:cs="Times New Roman"/>
                <w:b/>
                <w:color w:val="0000FF"/>
                <w:sz w:val="24"/>
                <w:szCs w:val="24"/>
              </w:rPr>
            </w:pPr>
            <w:r w:rsidRPr="0063678B">
              <w:rPr>
                <w:rFonts w:ascii="Times New Roman" w:hAnsi="Times New Roman" w:cs="Times New Roman"/>
                <w:sz w:val="24"/>
                <w:szCs w:val="24"/>
              </w:rPr>
              <w:t>Comprimidos e suspensão oral</w:t>
            </w:r>
          </w:p>
        </w:tc>
        <w:tc>
          <w:tcPr>
            <w:tcW w:w="3433" w:type="dxa"/>
          </w:tcPr>
          <w:p w:rsidR="00D51F6B"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Tegretol</w:t>
            </w:r>
            <w:proofErr w:type="spellEnd"/>
            <w:r w:rsidRPr="0063678B">
              <w:rPr>
                <w:rFonts w:ascii="Times New Roman" w:hAnsi="Times New Roman" w:cs="Times New Roman"/>
                <w:sz w:val="24"/>
                <w:szCs w:val="24"/>
              </w:rPr>
              <w:t xml:space="preserve"> - Novartis</w:t>
            </w:r>
          </w:p>
        </w:tc>
      </w:tr>
      <w:tr w:rsidR="00D51F6B" w:rsidRPr="0063678B" w:rsidTr="007A5A5E">
        <w:trPr>
          <w:jc w:val="center"/>
        </w:trPr>
        <w:tc>
          <w:tcPr>
            <w:tcW w:w="2206" w:type="dxa"/>
          </w:tcPr>
          <w:p w:rsidR="00D51F6B" w:rsidRPr="0063678B" w:rsidRDefault="001924D2" w:rsidP="0063678B">
            <w:pPr>
              <w:spacing w:before="300" w:after="300"/>
              <w:contextualSpacing/>
              <w:jc w:val="both"/>
              <w:rPr>
                <w:rFonts w:ascii="Times New Roman" w:hAnsi="Times New Roman" w:cs="Times New Roman"/>
                <w:sz w:val="24"/>
                <w:szCs w:val="24"/>
              </w:rPr>
            </w:pPr>
            <w:r w:rsidRPr="0063678B">
              <w:rPr>
                <w:rFonts w:ascii="Times New Roman" w:hAnsi="Times New Roman" w:cs="Times New Roman"/>
                <w:sz w:val="24"/>
                <w:szCs w:val="24"/>
              </w:rPr>
              <w:t>Ciclosporina</w:t>
            </w:r>
          </w:p>
        </w:tc>
        <w:tc>
          <w:tcPr>
            <w:tcW w:w="3414" w:type="dxa"/>
          </w:tcPr>
          <w:p w:rsidR="00D51F6B" w:rsidRPr="0063678B" w:rsidRDefault="00C9613C" w:rsidP="0063678B">
            <w:pPr>
              <w:spacing w:before="300" w:after="300"/>
              <w:contextualSpacing/>
              <w:jc w:val="both"/>
              <w:rPr>
                <w:rFonts w:ascii="Times New Roman" w:hAnsi="Times New Roman" w:cs="Times New Roman"/>
                <w:b/>
                <w:color w:val="0000FF"/>
                <w:sz w:val="24"/>
                <w:szCs w:val="24"/>
              </w:rPr>
            </w:pPr>
            <w:r w:rsidRPr="0063678B">
              <w:rPr>
                <w:rFonts w:ascii="Times New Roman" w:hAnsi="Times New Roman" w:cs="Times New Roman"/>
                <w:sz w:val="24"/>
                <w:szCs w:val="24"/>
              </w:rPr>
              <w:t>Cápsulas</w:t>
            </w:r>
          </w:p>
        </w:tc>
        <w:tc>
          <w:tcPr>
            <w:tcW w:w="3433" w:type="dxa"/>
          </w:tcPr>
          <w:p w:rsidR="00D51F6B"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Sandimun</w:t>
            </w:r>
            <w:proofErr w:type="spellEnd"/>
            <w:r w:rsidRPr="0063678B">
              <w:rPr>
                <w:rFonts w:ascii="Times New Roman" w:hAnsi="Times New Roman" w:cs="Times New Roman"/>
                <w:sz w:val="24"/>
                <w:szCs w:val="24"/>
              </w:rPr>
              <w:t xml:space="preserve"> - Novartis</w:t>
            </w:r>
          </w:p>
        </w:tc>
      </w:tr>
      <w:tr w:rsidR="00D51F6B" w:rsidRPr="0063678B" w:rsidTr="007A5A5E">
        <w:trPr>
          <w:jc w:val="center"/>
        </w:trPr>
        <w:tc>
          <w:tcPr>
            <w:tcW w:w="2206" w:type="dxa"/>
          </w:tcPr>
          <w:p w:rsidR="00D51F6B" w:rsidRPr="0063678B" w:rsidRDefault="001924D2" w:rsidP="0063678B">
            <w:pPr>
              <w:spacing w:before="300" w:after="300"/>
              <w:contextualSpacing/>
              <w:jc w:val="both"/>
              <w:rPr>
                <w:rFonts w:ascii="Times New Roman" w:hAnsi="Times New Roman" w:cs="Times New Roman"/>
                <w:sz w:val="24"/>
                <w:szCs w:val="24"/>
              </w:rPr>
            </w:pPr>
            <w:proofErr w:type="spellStart"/>
            <w:r w:rsidRPr="0063678B">
              <w:rPr>
                <w:rFonts w:ascii="Times New Roman" w:hAnsi="Times New Roman" w:cs="Times New Roman"/>
                <w:sz w:val="24"/>
                <w:szCs w:val="24"/>
              </w:rPr>
              <w:lastRenderedPageBreak/>
              <w:t>Clindamicina</w:t>
            </w:r>
            <w:proofErr w:type="spellEnd"/>
          </w:p>
        </w:tc>
        <w:tc>
          <w:tcPr>
            <w:tcW w:w="3414" w:type="dxa"/>
          </w:tcPr>
          <w:p w:rsidR="00D51F6B" w:rsidRPr="0063678B" w:rsidRDefault="00C9613C" w:rsidP="0063678B">
            <w:pPr>
              <w:spacing w:before="300" w:after="300"/>
              <w:contextualSpacing/>
              <w:jc w:val="both"/>
              <w:rPr>
                <w:rFonts w:ascii="Times New Roman" w:hAnsi="Times New Roman" w:cs="Times New Roman"/>
                <w:b/>
                <w:color w:val="0000FF"/>
                <w:sz w:val="24"/>
                <w:szCs w:val="24"/>
              </w:rPr>
            </w:pPr>
            <w:r w:rsidRPr="0063678B">
              <w:rPr>
                <w:rFonts w:ascii="Times New Roman" w:hAnsi="Times New Roman" w:cs="Times New Roman"/>
                <w:sz w:val="24"/>
                <w:szCs w:val="24"/>
              </w:rPr>
              <w:t>Cápsulas</w:t>
            </w:r>
          </w:p>
        </w:tc>
        <w:tc>
          <w:tcPr>
            <w:tcW w:w="3433" w:type="dxa"/>
          </w:tcPr>
          <w:p w:rsidR="00D51F6B"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Dalacin</w:t>
            </w:r>
            <w:proofErr w:type="spellEnd"/>
            <w:r w:rsidRPr="0063678B">
              <w:rPr>
                <w:rFonts w:ascii="Times New Roman" w:hAnsi="Times New Roman" w:cs="Times New Roman"/>
                <w:sz w:val="24"/>
                <w:szCs w:val="24"/>
              </w:rPr>
              <w:t xml:space="preserve"> C - Pharmacia do </w:t>
            </w:r>
            <w:proofErr w:type="spellStart"/>
            <w:r w:rsidRPr="0063678B">
              <w:rPr>
                <w:rFonts w:ascii="Times New Roman" w:hAnsi="Times New Roman" w:cs="Times New Roman"/>
                <w:sz w:val="24"/>
                <w:szCs w:val="24"/>
              </w:rPr>
              <w:t>Br</w:t>
            </w:r>
            <w:proofErr w:type="spellEnd"/>
          </w:p>
        </w:tc>
      </w:tr>
      <w:tr w:rsidR="00C9613C" w:rsidRPr="0063678B" w:rsidTr="007A5A5E">
        <w:trPr>
          <w:jc w:val="center"/>
        </w:trPr>
        <w:tc>
          <w:tcPr>
            <w:tcW w:w="2206" w:type="dxa"/>
          </w:tcPr>
          <w:p w:rsidR="00C9613C" w:rsidRPr="0063678B" w:rsidRDefault="001924D2" w:rsidP="0063678B">
            <w:pPr>
              <w:spacing w:before="300" w:after="300"/>
              <w:contextualSpacing/>
              <w:jc w:val="both"/>
              <w:rPr>
                <w:rFonts w:ascii="Times New Roman" w:hAnsi="Times New Roman" w:cs="Times New Roman"/>
                <w:sz w:val="24"/>
                <w:szCs w:val="24"/>
              </w:rPr>
            </w:pPr>
            <w:r w:rsidRPr="0063678B">
              <w:rPr>
                <w:rFonts w:ascii="Times New Roman" w:hAnsi="Times New Roman" w:cs="Times New Roman"/>
                <w:sz w:val="24"/>
                <w:szCs w:val="24"/>
              </w:rPr>
              <w:t>Clonidina</w:t>
            </w:r>
          </w:p>
        </w:tc>
        <w:tc>
          <w:tcPr>
            <w:tcW w:w="3414" w:type="dxa"/>
          </w:tcPr>
          <w:p w:rsidR="00C9613C" w:rsidRPr="0063678B" w:rsidRDefault="00C9613C" w:rsidP="0063678B">
            <w:pPr>
              <w:jc w:val="both"/>
              <w:rPr>
                <w:rFonts w:ascii="Times New Roman" w:hAnsi="Times New Roman" w:cs="Times New Roman"/>
                <w:sz w:val="24"/>
                <w:szCs w:val="24"/>
              </w:rPr>
            </w:pPr>
            <w:r w:rsidRPr="0063678B">
              <w:rPr>
                <w:rFonts w:ascii="Times New Roman" w:hAnsi="Times New Roman" w:cs="Times New Roman"/>
                <w:sz w:val="24"/>
                <w:szCs w:val="24"/>
              </w:rPr>
              <w:t>Comprimidos</w:t>
            </w:r>
          </w:p>
        </w:tc>
        <w:tc>
          <w:tcPr>
            <w:tcW w:w="3433" w:type="dxa"/>
          </w:tcPr>
          <w:p w:rsidR="00C9613C"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Atensina</w:t>
            </w:r>
            <w:proofErr w:type="spellEnd"/>
            <w:r w:rsidRPr="0063678B">
              <w:rPr>
                <w:rFonts w:ascii="Times New Roman" w:hAnsi="Times New Roman" w:cs="Times New Roman"/>
                <w:sz w:val="24"/>
                <w:szCs w:val="24"/>
              </w:rPr>
              <w:t xml:space="preserve"> - Boehringer Ingelheim</w:t>
            </w:r>
          </w:p>
        </w:tc>
      </w:tr>
      <w:tr w:rsidR="00C9613C" w:rsidRPr="0063678B" w:rsidTr="007A5A5E">
        <w:trPr>
          <w:jc w:val="center"/>
        </w:trPr>
        <w:tc>
          <w:tcPr>
            <w:tcW w:w="2206" w:type="dxa"/>
          </w:tcPr>
          <w:p w:rsidR="00C9613C" w:rsidRPr="0063678B" w:rsidRDefault="001924D2" w:rsidP="0063678B">
            <w:pPr>
              <w:spacing w:before="300" w:after="300"/>
              <w:contextualSpacing/>
              <w:jc w:val="both"/>
              <w:rPr>
                <w:rFonts w:ascii="Times New Roman" w:hAnsi="Times New Roman" w:cs="Times New Roman"/>
                <w:sz w:val="24"/>
                <w:szCs w:val="24"/>
              </w:rPr>
            </w:pPr>
            <w:proofErr w:type="spellStart"/>
            <w:r w:rsidRPr="0063678B">
              <w:rPr>
                <w:rFonts w:ascii="Times New Roman" w:hAnsi="Times New Roman" w:cs="Times New Roman"/>
                <w:sz w:val="24"/>
                <w:szCs w:val="24"/>
              </w:rPr>
              <w:t>Clozapina</w:t>
            </w:r>
            <w:proofErr w:type="spellEnd"/>
          </w:p>
        </w:tc>
        <w:tc>
          <w:tcPr>
            <w:tcW w:w="3414" w:type="dxa"/>
          </w:tcPr>
          <w:p w:rsidR="00C9613C" w:rsidRPr="0063678B" w:rsidRDefault="00C9613C" w:rsidP="0063678B">
            <w:pPr>
              <w:jc w:val="both"/>
              <w:rPr>
                <w:rFonts w:ascii="Times New Roman" w:hAnsi="Times New Roman" w:cs="Times New Roman"/>
                <w:sz w:val="24"/>
                <w:szCs w:val="24"/>
              </w:rPr>
            </w:pPr>
            <w:r w:rsidRPr="0063678B">
              <w:rPr>
                <w:rFonts w:ascii="Times New Roman" w:hAnsi="Times New Roman" w:cs="Times New Roman"/>
                <w:sz w:val="24"/>
                <w:szCs w:val="24"/>
              </w:rPr>
              <w:t>Comprimidos</w:t>
            </w:r>
          </w:p>
        </w:tc>
        <w:tc>
          <w:tcPr>
            <w:tcW w:w="3433" w:type="dxa"/>
          </w:tcPr>
          <w:p w:rsidR="00C9613C"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Leponex</w:t>
            </w:r>
            <w:proofErr w:type="spellEnd"/>
            <w:r w:rsidRPr="0063678B">
              <w:rPr>
                <w:rFonts w:ascii="Times New Roman" w:hAnsi="Times New Roman" w:cs="Times New Roman"/>
                <w:sz w:val="24"/>
                <w:szCs w:val="24"/>
              </w:rPr>
              <w:t xml:space="preserve"> - Novartis</w:t>
            </w:r>
          </w:p>
        </w:tc>
      </w:tr>
      <w:tr w:rsidR="00C9613C" w:rsidRPr="0063678B" w:rsidTr="007A5A5E">
        <w:trPr>
          <w:jc w:val="center"/>
        </w:trPr>
        <w:tc>
          <w:tcPr>
            <w:tcW w:w="2206" w:type="dxa"/>
          </w:tcPr>
          <w:p w:rsidR="00C9613C" w:rsidRPr="0063678B" w:rsidRDefault="001924D2" w:rsidP="0063678B">
            <w:pPr>
              <w:spacing w:before="300" w:after="300"/>
              <w:contextualSpacing/>
              <w:jc w:val="both"/>
              <w:rPr>
                <w:rFonts w:ascii="Times New Roman" w:hAnsi="Times New Roman" w:cs="Times New Roman"/>
                <w:sz w:val="24"/>
                <w:szCs w:val="24"/>
              </w:rPr>
            </w:pPr>
            <w:r w:rsidRPr="0063678B">
              <w:rPr>
                <w:rFonts w:ascii="Times New Roman" w:hAnsi="Times New Roman" w:cs="Times New Roman"/>
                <w:sz w:val="24"/>
                <w:szCs w:val="24"/>
              </w:rPr>
              <w:t>Digoxina</w:t>
            </w:r>
          </w:p>
        </w:tc>
        <w:tc>
          <w:tcPr>
            <w:tcW w:w="3414" w:type="dxa"/>
          </w:tcPr>
          <w:p w:rsidR="00C9613C" w:rsidRPr="0063678B" w:rsidRDefault="00C9613C" w:rsidP="0063678B">
            <w:pPr>
              <w:jc w:val="both"/>
              <w:rPr>
                <w:rFonts w:ascii="Times New Roman" w:hAnsi="Times New Roman" w:cs="Times New Roman"/>
                <w:sz w:val="24"/>
                <w:szCs w:val="24"/>
              </w:rPr>
            </w:pPr>
            <w:r w:rsidRPr="0063678B">
              <w:rPr>
                <w:rFonts w:ascii="Times New Roman" w:hAnsi="Times New Roman" w:cs="Times New Roman"/>
                <w:sz w:val="24"/>
                <w:szCs w:val="24"/>
              </w:rPr>
              <w:t>Comprimidos</w:t>
            </w:r>
          </w:p>
        </w:tc>
        <w:tc>
          <w:tcPr>
            <w:tcW w:w="3433" w:type="dxa"/>
          </w:tcPr>
          <w:p w:rsidR="00C9613C" w:rsidRPr="0063678B" w:rsidRDefault="001924D2" w:rsidP="0063678B">
            <w:pPr>
              <w:spacing w:before="300" w:after="300"/>
              <w:contextualSpacing/>
              <w:jc w:val="both"/>
              <w:rPr>
                <w:rFonts w:ascii="Times New Roman" w:hAnsi="Times New Roman" w:cs="Times New Roman"/>
                <w:b/>
                <w:color w:val="0000FF"/>
                <w:sz w:val="24"/>
                <w:szCs w:val="24"/>
              </w:rPr>
            </w:pPr>
            <w:r w:rsidRPr="0063678B">
              <w:rPr>
                <w:rFonts w:ascii="Times New Roman" w:hAnsi="Times New Roman" w:cs="Times New Roman"/>
                <w:sz w:val="24"/>
                <w:szCs w:val="24"/>
              </w:rPr>
              <w:t xml:space="preserve">Digoxina - Glaxo </w:t>
            </w:r>
            <w:proofErr w:type="spellStart"/>
            <w:r w:rsidRPr="0063678B">
              <w:rPr>
                <w:rFonts w:ascii="Times New Roman" w:hAnsi="Times New Roman" w:cs="Times New Roman"/>
                <w:sz w:val="24"/>
                <w:szCs w:val="24"/>
              </w:rPr>
              <w:t>Wellcome</w:t>
            </w:r>
            <w:proofErr w:type="spellEnd"/>
          </w:p>
        </w:tc>
      </w:tr>
      <w:tr w:rsidR="00C9613C" w:rsidRPr="0063678B" w:rsidTr="007A5A5E">
        <w:trPr>
          <w:jc w:val="center"/>
        </w:trPr>
        <w:tc>
          <w:tcPr>
            <w:tcW w:w="2206" w:type="dxa"/>
          </w:tcPr>
          <w:p w:rsidR="00C9613C" w:rsidRPr="0063678B" w:rsidRDefault="001924D2" w:rsidP="0063678B">
            <w:pPr>
              <w:spacing w:before="300" w:after="300"/>
              <w:contextualSpacing/>
              <w:jc w:val="both"/>
              <w:rPr>
                <w:rFonts w:ascii="Times New Roman" w:hAnsi="Times New Roman" w:cs="Times New Roman"/>
                <w:sz w:val="24"/>
                <w:szCs w:val="24"/>
              </w:rPr>
            </w:pPr>
            <w:proofErr w:type="spellStart"/>
            <w:r w:rsidRPr="0063678B">
              <w:rPr>
                <w:rFonts w:ascii="Times New Roman" w:hAnsi="Times New Roman" w:cs="Times New Roman"/>
                <w:sz w:val="24"/>
                <w:szCs w:val="24"/>
              </w:rPr>
              <w:t>Disopiramida</w:t>
            </w:r>
            <w:proofErr w:type="spellEnd"/>
          </w:p>
        </w:tc>
        <w:tc>
          <w:tcPr>
            <w:tcW w:w="3414" w:type="dxa"/>
          </w:tcPr>
          <w:p w:rsidR="00C9613C" w:rsidRPr="0063678B" w:rsidRDefault="00C9613C" w:rsidP="0063678B">
            <w:pPr>
              <w:jc w:val="both"/>
              <w:rPr>
                <w:rFonts w:ascii="Times New Roman" w:hAnsi="Times New Roman" w:cs="Times New Roman"/>
                <w:sz w:val="24"/>
                <w:szCs w:val="24"/>
              </w:rPr>
            </w:pPr>
            <w:r w:rsidRPr="0063678B">
              <w:rPr>
                <w:rFonts w:ascii="Times New Roman" w:hAnsi="Times New Roman" w:cs="Times New Roman"/>
                <w:sz w:val="24"/>
                <w:szCs w:val="24"/>
              </w:rPr>
              <w:t>Comprimidos</w:t>
            </w:r>
          </w:p>
        </w:tc>
        <w:tc>
          <w:tcPr>
            <w:tcW w:w="3433" w:type="dxa"/>
          </w:tcPr>
          <w:p w:rsidR="00C9613C"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Dicorantil</w:t>
            </w:r>
            <w:proofErr w:type="spellEnd"/>
            <w:r w:rsidRPr="0063678B">
              <w:rPr>
                <w:rFonts w:ascii="Times New Roman" w:hAnsi="Times New Roman" w:cs="Times New Roman"/>
                <w:sz w:val="24"/>
                <w:szCs w:val="24"/>
              </w:rPr>
              <w:t xml:space="preserve"> - Aventis</w:t>
            </w:r>
          </w:p>
        </w:tc>
      </w:tr>
      <w:tr w:rsidR="00D51F6B" w:rsidRPr="0063678B" w:rsidTr="007A5A5E">
        <w:trPr>
          <w:jc w:val="center"/>
        </w:trPr>
        <w:tc>
          <w:tcPr>
            <w:tcW w:w="2206" w:type="dxa"/>
          </w:tcPr>
          <w:p w:rsidR="00D51F6B" w:rsidRPr="0063678B" w:rsidRDefault="001924D2" w:rsidP="0063678B">
            <w:pPr>
              <w:spacing w:before="300" w:after="300"/>
              <w:contextualSpacing/>
              <w:jc w:val="both"/>
              <w:rPr>
                <w:rFonts w:ascii="Times New Roman" w:hAnsi="Times New Roman" w:cs="Times New Roman"/>
                <w:sz w:val="24"/>
                <w:szCs w:val="24"/>
              </w:rPr>
            </w:pPr>
            <w:proofErr w:type="spellStart"/>
            <w:r w:rsidRPr="0063678B">
              <w:rPr>
                <w:rFonts w:ascii="Times New Roman" w:hAnsi="Times New Roman" w:cs="Times New Roman"/>
                <w:sz w:val="24"/>
                <w:szCs w:val="24"/>
              </w:rPr>
              <w:t>Fenitoína</w:t>
            </w:r>
            <w:proofErr w:type="spellEnd"/>
          </w:p>
        </w:tc>
        <w:tc>
          <w:tcPr>
            <w:tcW w:w="3414" w:type="dxa"/>
          </w:tcPr>
          <w:p w:rsidR="00D51F6B" w:rsidRPr="0063678B" w:rsidRDefault="00C9613C" w:rsidP="0063678B">
            <w:pPr>
              <w:spacing w:before="300" w:after="300"/>
              <w:contextualSpacing/>
              <w:jc w:val="both"/>
              <w:rPr>
                <w:rFonts w:ascii="Times New Roman" w:hAnsi="Times New Roman" w:cs="Times New Roman"/>
                <w:b/>
                <w:color w:val="0000FF"/>
                <w:sz w:val="24"/>
                <w:szCs w:val="24"/>
              </w:rPr>
            </w:pPr>
            <w:r w:rsidRPr="0063678B">
              <w:rPr>
                <w:rFonts w:ascii="Times New Roman" w:hAnsi="Times New Roman" w:cs="Times New Roman"/>
                <w:sz w:val="24"/>
                <w:szCs w:val="24"/>
              </w:rPr>
              <w:t>Comprimidos, Cápsulas e suspensão oral</w:t>
            </w:r>
          </w:p>
        </w:tc>
        <w:tc>
          <w:tcPr>
            <w:tcW w:w="3433" w:type="dxa"/>
          </w:tcPr>
          <w:p w:rsidR="00D51F6B"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Hidantal</w:t>
            </w:r>
            <w:proofErr w:type="spellEnd"/>
            <w:r w:rsidRPr="0063678B">
              <w:rPr>
                <w:rFonts w:ascii="Times New Roman" w:hAnsi="Times New Roman" w:cs="Times New Roman"/>
                <w:sz w:val="24"/>
                <w:szCs w:val="24"/>
              </w:rPr>
              <w:t xml:space="preserve"> - Aventis</w:t>
            </w:r>
          </w:p>
        </w:tc>
      </w:tr>
      <w:tr w:rsidR="00D51F6B" w:rsidRPr="0063678B" w:rsidTr="007A5A5E">
        <w:trPr>
          <w:jc w:val="center"/>
        </w:trPr>
        <w:tc>
          <w:tcPr>
            <w:tcW w:w="2206" w:type="dxa"/>
          </w:tcPr>
          <w:p w:rsidR="00D51F6B" w:rsidRPr="0063678B" w:rsidRDefault="00D51F6B" w:rsidP="0063678B">
            <w:pPr>
              <w:spacing w:before="300" w:after="300"/>
              <w:contextualSpacing/>
              <w:jc w:val="both"/>
              <w:rPr>
                <w:rFonts w:ascii="Times New Roman" w:hAnsi="Times New Roman" w:cs="Times New Roman"/>
                <w:sz w:val="24"/>
                <w:szCs w:val="24"/>
              </w:rPr>
            </w:pPr>
            <w:r w:rsidRPr="0063678B">
              <w:rPr>
                <w:rFonts w:ascii="Times New Roman" w:hAnsi="Times New Roman" w:cs="Times New Roman"/>
                <w:sz w:val="24"/>
                <w:szCs w:val="24"/>
              </w:rPr>
              <w:t>Lítio</w:t>
            </w:r>
          </w:p>
        </w:tc>
        <w:tc>
          <w:tcPr>
            <w:tcW w:w="3414" w:type="dxa"/>
          </w:tcPr>
          <w:p w:rsidR="00D51F6B" w:rsidRPr="0063678B" w:rsidRDefault="00C9613C" w:rsidP="0063678B">
            <w:pPr>
              <w:spacing w:before="300" w:after="300"/>
              <w:contextualSpacing/>
              <w:jc w:val="both"/>
              <w:rPr>
                <w:rFonts w:ascii="Times New Roman" w:hAnsi="Times New Roman" w:cs="Times New Roman"/>
                <w:b/>
                <w:color w:val="0000FF"/>
                <w:sz w:val="24"/>
                <w:szCs w:val="24"/>
              </w:rPr>
            </w:pPr>
            <w:r w:rsidRPr="0063678B">
              <w:rPr>
                <w:rFonts w:ascii="Times New Roman" w:hAnsi="Times New Roman" w:cs="Times New Roman"/>
                <w:sz w:val="24"/>
                <w:szCs w:val="24"/>
              </w:rPr>
              <w:t>Comprimidos</w:t>
            </w:r>
          </w:p>
        </w:tc>
        <w:tc>
          <w:tcPr>
            <w:tcW w:w="3433" w:type="dxa"/>
          </w:tcPr>
          <w:p w:rsidR="00D51F6B"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Carbolítium</w:t>
            </w:r>
            <w:proofErr w:type="spellEnd"/>
            <w:r w:rsidRPr="0063678B">
              <w:rPr>
                <w:rFonts w:ascii="Times New Roman" w:hAnsi="Times New Roman" w:cs="Times New Roman"/>
                <w:sz w:val="24"/>
                <w:szCs w:val="24"/>
              </w:rPr>
              <w:t xml:space="preserve"> - </w:t>
            </w:r>
            <w:proofErr w:type="spellStart"/>
            <w:r w:rsidRPr="0063678B">
              <w:rPr>
                <w:rFonts w:ascii="Times New Roman" w:hAnsi="Times New Roman" w:cs="Times New Roman"/>
                <w:sz w:val="24"/>
                <w:szCs w:val="24"/>
              </w:rPr>
              <w:t>Eurofarma</w:t>
            </w:r>
            <w:proofErr w:type="spellEnd"/>
          </w:p>
        </w:tc>
      </w:tr>
      <w:tr w:rsidR="00C9613C" w:rsidRPr="0063678B" w:rsidTr="007A5A5E">
        <w:trPr>
          <w:jc w:val="center"/>
        </w:trPr>
        <w:tc>
          <w:tcPr>
            <w:tcW w:w="2206" w:type="dxa"/>
          </w:tcPr>
          <w:p w:rsidR="00C9613C" w:rsidRPr="0063678B" w:rsidRDefault="001924D2" w:rsidP="0063678B">
            <w:pPr>
              <w:spacing w:before="300" w:after="300"/>
              <w:contextualSpacing/>
              <w:jc w:val="both"/>
              <w:rPr>
                <w:rFonts w:ascii="Times New Roman" w:hAnsi="Times New Roman" w:cs="Times New Roman"/>
                <w:sz w:val="24"/>
                <w:szCs w:val="24"/>
              </w:rPr>
            </w:pPr>
            <w:proofErr w:type="spellStart"/>
            <w:r w:rsidRPr="0063678B">
              <w:rPr>
                <w:rFonts w:ascii="Times New Roman" w:hAnsi="Times New Roman" w:cs="Times New Roman"/>
                <w:sz w:val="24"/>
                <w:szCs w:val="24"/>
              </w:rPr>
              <w:t>Isotretinoína</w:t>
            </w:r>
            <w:proofErr w:type="spellEnd"/>
          </w:p>
        </w:tc>
        <w:tc>
          <w:tcPr>
            <w:tcW w:w="3414" w:type="dxa"/>
          </w:tcPr>
          <w:p w:rsidR="00C9613C" w:rsidRPr="0063678B" w:rsidRDefault="00C9613C" w:rsidP="0063678B">
            <w:pPr>
              <w:spacing w:before="300" w:after="300"/>
              <w:contextualSpacing/>
              <w:jc w:val="both"/>
              <w:rPr>
                <w:rFonts w:ascii="Times New Roman" w:hAnsi="Times New Roman" w:cs="Times New Roman"/>
                <w:b/>
                <w:color w:val="0000FF"/>
                <w:sz w:val="24"/>
                <w:szCs w:val="24"/>
              </w:rPr>
            </w:pPr>
            <w:r w:rsidRPr="0063678B">
              <w:rPr>
                <w:rFonts w:ascii="Times New Roman" w:hAnsi="Times New Roman" w:cs="Times New Roman"/>
                <w:sz w:val="24"/>
                <w:szCs w:val="24"/>
              </w:rPr>
              <w:t>Cápsulas</w:t>
            </w:r>
          </w:p>
        </w:tc>
        <w:tc>
          <w:tcPr>
            <w:tcW w:w="3433" w:type="dxa"/>
          </w:tcPr>
          <w:p w:rsidR="00C9613C"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Roacutan</w:t>
            </w:r>
            <w:proofErr w:type="spellEnd"/>
            <w:r w:rsidRPr="0063678B">
              <w:rPr>
                <w:rFonts w:ascii="Times New Roman" w:hAnsi="Times New Roman" w:cs="Times New Roman"/>
                <w:sz w:val="24"/>
                <w:szCs w:val="24"/>
              </w:rPr>
              <w:t>-Roche</w:t>
            </w:r>
          </w:p>
        </w:tc>
      </w:tr>
      <w:tr w:rsidR="00C9613C" w:rsidRPr="0063678B" w:rsidTr="007A5A5E">
        <w:trPr>
          <w:jc w:val="center"/>
        </w:trPr>
        <w:tc>
          <w:tcPr>
            <w:tcW w:w="2206" w:type="dxa"/>
          </w:tcPr>
          <w:p w:rsidR="00C9613C" w:rsidRPr="0063678B" w:rsidRDefault="001924D2" w:rsidP="0063678B">
            <w:pPr>
              <w:spacing w:before="300" w:after="300"/>
              <w:contextualSpacing/>
              <w:jc w:val="both"/>
              <w:rPr>
                <w:rFonts w:ascii="Times New Roman" w:hAnsi="Times New Roman" w:cs="Times New Roman"/>
                <w:sz w:val="24"/>
                <w:szCs w:val="24"/>
              </w:rPr>
            </w:pPr>
            <w:proofErr w:type="spellStart"/>
            <w:r w:rsidRPr="0063678B">
              <w:rPr>
                <w:rFonts w:ascii="Times New Roman" w:hAnsi="Times New Roman" w:cs="Times New Roman"/>
                <w:sz w:val="24"/>
                <w:szCs w:val="24"/>
              </w:rPr>
              <w:t>Minoxidil</w:t>
            </w:r>
            <w:proofErr w:type="spellEnd"/>
          </w:p>
        </w:tc>
        <w:tc>
          <w:tcPr>
            <w:tcW w:w="3414" w:type="dxa"/>
          </w:tcPr>
          <w:p w:rsidR="00C9613C" w:rsidRPr="0063678B" w:rsidRDefault="00C9613C" w:rsidP="0063678B">
            <w:pPr>
              <w:jc w:val="both"/>
              <w:rPr>
                <w:rFonts w:ascii="Times New Roman" w:hAnsi="Times New Roman" w:cs="Times New Roman"/>
                <w:sz w:val="24"/>
                <w:szCs w:val="24"/>
              </w:rPr>
            </w:pPr>
            <w:r w:rsidRPr="0063678B">
              <w:rPr>
                <w:rFonts w:ascii="Times New Roman" w:hAnsi="Times New Roman" w:cs="Times New Roman"/>
                <w:sz w:val="24"/>
                <w:szCs w:val="24"/>
              </w:rPr>
              <w:t>Comprimidos</w:t>
            </w:r>
          </w:p>
        </w:tc>
        <w:tc>
          <w:tcPr>
            <w:tcW w:w="3433" w:type="dxa"/>
          </w:tcPr>
          <w:p w:rsidR="00C9613C"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Loniten</w:t>
            </w:r>
            <w:proofErr w:type="spellEnd"/>
            <w:r w:rsidRPr="0063678B">
              <w:rPr>
                <w:rFonts w:ascii="Times New Roman" w:hAnsi="Times New Roman" w:cs="Times New Roman"/>
                <w:sz w:val="24"/>
                <w:szCs w:val="24"/>
              </w:rPr>
              <w:t xml:space="preserve"> - Pharmacia do </w:t>
            </w:r>
            <w:proofErr w:type="spellStart"/>
            <w:r w:rsidRPr="0063678B">
              <w:rPr>
                <w:rFonts w:ascii="Times New Roman" w:hAnsi="Times New Roman" w:cs="Times New Roman"/>
                <w:sz w:val="24"/>
                <w:szCs w:val="24"/>
              </w:rPr>
              <w:t>Br</w:t>
            </w:r>
            <w:proofErr w:type="spellEnd"/>
          </w:p>
        </w:tc>
      </w:tr>
      <w:tr w:rsidR="00D51F6B" w:rsidRPr="0063678B" w:rsidTr="007A5A5E">
        <w:trPr>
          <w:jc w:val="center"/>
        </w:trPr>
        <w:tc>
          <w:tcPr>
            <w:tcW w:w="2206" w:type="dxa"/>
          </w:tcPr>
          <w:p w:rsidR="00D51F6B" w:rsidRPr="0063678B" w:rsidRDefault="001924D2" w:rsidP="0063678B">
            <w:pPr>
              <w:spacing w:before="300" w:after="300"/>
              <w:contextualSpacing/>
              <w:jc w:val="both"/>
              <w:rPr>
                <w:rFonts w:ascii="Times New Roman" w:hAnsi="Times New Roman" w:cs="Times New Roman"/>
                <w:sz w:val="24"/>
                <w:szCs w:val="24"/>
              </w:rPr>
            </w:pPr>
            <w:proofErr w:type="spellStart"/>
            <w:r w:rsidRPr="0063678B">
              <w:rPr>
                <w:rFonts w:ascii="Times New Roman" w:hAnsi="Times New Roman" w:cs="Times New Roman"/>
                <w:sz w:val="24"/>
                <w:szCs w:val="24"/>
              </w:rPr>
              <w:t>Oxcarbazepina</w:t>
            </w:r>
            <w:proofErr w:type="spellEnd"/>
          </w:p>
        </w:tc>
        <w:tc>
          <w:tcPr>
            <w:tcW w:w="3414" w:type="dxa"/>
          </w:tcPr>
          <w:p w:rsidR="00D51F6B" w:rsidRPr="0063678B" w:rsidRDefault="00D51F6B" w:rsidP="0063678B">
            <w:pPr>
              <w:spacing w:before="300" w:after="300"/>
              <w:contextualSpacing/>
              <w:jc w:val="both"/>
              <w:rPr>
                <w:rFonts w:ascii="Times New Roman" w:hAnsi="Times New Roman" w:cs="Times New Roman"/>
                <w:b/>
                <w:color w:val="0000FF"/>
                <w:sz w:val="24"/>
                <w:szCs w:val="24"/>
              </w:rPr>
            </w:pPr>
            <w:r w:rsidRPr="0063678B">
              <w:rPr>
                <w:rFonts w:ascii="Times New Roman" w:hAnsi="Times New Roman" w:cs="Times New Roman"/>
                <w:sz w:val="24"/>
                <w:szCs w:val="24"/>
              </w:rPr>
              <w:t>Comprimidos e suspensão oral</w:t>
            </w:r>
          </w:p>
        </w:tc>
        <w:tc>
          <w:tcPr>
            <w:tcW w:w="3433" w:type="dxa"/>
          </w:tcPr>
          <w:p w:rsidR="00D51F6B"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Trileptal</w:t>
            </w:r>
            <w:proofErr w:type="spellEnd"/>
            <w:r w:rsidRPr="0063678B">
              <w:rPr>
                <w:rFonts w:ascii="Times New Roman" w:hAnsi="Times New Roman" w:cs="Times New Roman"/>
                <w:sz w:val="24"/>
                <w:szCs w:val="24"/>
              </w:rPr>
              <w:t>-Novartis</w:t>
            </w:r>
          </w:p>
        </w:tc>
      </w:tr>
      <w:tr w:rsidR="00D51F6B" w:rsidRPr="0063678B" w:rsidTr="007A5A5E">
        <w:trPr>
          <w:jc w:val="center"/>
        </w:trPr>
        <w:tc>
          <w:tcPr>
            <w:tcW w:w="2206" w:type="dxa"/>
          </w:tcPr>
          <w:p w:rsidR="00D51F6B" w:rsidRPr="0063678B" w:rsidRDefault="001924D2" w:rsidP="0063678B">
            <w:pPr>
              <w:spacing w:before="300" w:after="300"/>
              <w:contextualSpacing/>
              <w:jc w:val="both"/>
              <w:rPr>
                <w:rFonts w:ascii="Times New Roman" w:hAnsi="Times New Roman" w:cs="Times New Roman"/>
                <w:sz w:val="24"/>
                <w:szCs w:val="24"/>
              </w:rPr>
            </w:pPr>
            <w:proofErr w:type="spellStart"/>
            <w:r w:rsidRPr="0063678B">
              <w:rPr>
                <w:rFonts w:ascii="Times New Roman" w:hAnsi="Times New Roman" w:cs="Times New Roman"/>
                <w:sz w:val="24"/>
                <w:szCs w:val="24"/>
              </w:rPr>
              <w:t>Prazosin</w:t>
            </w:r>
            <w:proofErr w:type="spellEnd"/>
          </w:p>
        </w:tc>
        <w:tc>
          <w:tcPr>
            <w:tcW w:w="3414" w:type="dxa"/>
          </w:tcPr>
          <w:p w:rsidR="00D51F6B" w:rsidRPr="0063678B" w:rsidRDefault="00D51F6B" w:rsidP="0063678B">
            <w:pPr>
              <w:spacing w:before="300" w:after="300"/>
              <w:contextualSpacing/>
              <w:jc w:val="both"/>
              <w:rPr>
                <w:rFonts w:ascii="Times New Roman" w:hAnsi="Times New Roman" w:cs="Times New Roman"/>
                <w:b/>
                <w:color w:val="0000FF"/>
                <w:sz w:val="24"/>
                <w:szCs w:val="24"/>
              </w:rPr>
            </w:pPr>
            <w:r w:rsidRPr="0063678B">
              <w:rPr>
                <w:rFonts w:ascii="Times New Roman" w:hAnsi="Times New Roman" w:cs="Times New Roman"/>
                <w:sz w:val="24"/>
                <w:szCs w:val="24"/>
              </w:rPr>
              <w:t>Cápsulas</w:t>
            </w:r>
          </w:p>
        </w:tc>
        <w:tc>
          <w:tcPr>
            <w:tcW w:w="3433" w:type="dxa"/>
          </w:tcPr>
          <w:p w:rsidR="00D51F6B"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Minipress</w:t>
            </w:r>
            <w:proofErr w:type="spellEnd"/>
            <w:r w:rsidRPr="0063678B">
              <w:rPr>
                <w:rFonts w:ascii="Times New Roman" w:hAnsi="Times New Roman" w:cs="Times New Roman"/>
                <w:sz w:val="24"/>
                <w:szCs w:val="24"/>
              </w:rPr>
              <w:t xml:space="preserve"> - Pfizer</w:t>
            </w:r>
          </w:p>
        </w:tc>
      </w:tr>
      <w:tr w:rsidR="00D51F6B" w:rsidRPr="0063678B" w:rsidTr="007A5A5E">
        <w:trPr>
          <w:jc w:val="center"/>
        </w:trPr>
        <w:tc>
          <w:tcPr>
            <w:tcW w:w="2206" w:type="dxa"/>
          </w:tcPr>
          <w:p w:rsidR="00D51F6B" w:rsidRPr="0063678B" w:rsidRDefault="001924D2" w:rsidP="0063678B">
            <w:pPr>
              <w:spacing w:before="300" w:after="300"/>
              <w:contextualSpacing/>
              <w:jc w:val="both"/>
              <w:rPr>
                <w:rFonts w:ascii="Times New Roman" w:hAnsi="Times New Roman" w:cs="Times New Roman"/>
                <w:sz w:val="24"/>
                <w:szCs w:val="24"/>
              </w:rPr>
            </w:pPr>
            <w:proofErr w:type="spellStart"/>
            <w:r w:rsidRPr="0063678B">
              <w:rPr>
                <w:rFonts w:ascii="Times New Roman" w:hAnsi="Times New Roman" w:cs="Times New Roman"/>
                <w:sz w:val="24"/>
                <w:szCs w:val="24"/>
              </w:rPr>
              <w:t>Primidona</w:t>
            </w:r>
            <w:proofErr w:type="spellEnd"/>
          </w:p>
        </w:tc>
        <w:tc>
          <w:tcPr>
            <w:tcW w:w="3414" w:type="dxa"/>
          </w:tcPr>
          <w:p w:rsidR="00D51F6B" w:rsidRPr="0063678B" w:rsidRDefault="00D51F6B" w:rsidP="0063678B">
            <w:pPr>
              <w:spacing w:before="300" w:after="300"/>
              <w:contextualSpacing/>
              <w:jc w:val="both"/>
              <w:rPr>
                <w:rFonts w:ascii="Times New Roman" w:hAnsi="Times New Roman" w:cs="Times New Roman"/>
                <w:b/>
                <w:color w:val="0000FF"/>
                <w:sz w:val="24"/>
                <w:szCs w:val="24"/>
              </w:rPr>
            </w:pPr>
            <w:r w:rsidRPr="0063678B">
              <w:rPr>
                <w:rFonts w:ascii="Times New Roman" w:hAnsi="Times New Roman" w:cs="Times New Roman"/>
                <w:sz w:val="24"/>
                <w:szCs w:val="24"/>
              </w:rPr>
              <w:t>Comprimidos e suspensão oral</w:t>
            </w:r>
          </w:p>
        </w:tc>
        <w:tc>
          <w:tcPr>
            <w:tcW w:w="3433" w:type="dxa"/>
          </w:tcPr>
          <w:p w:rsidR="00D51F6B"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Epidona</w:t>
            </w:r>
            <w:proofErr w:type="spellEnd"/>
            <w:r w:rsidRPr="0063678B">
              <w:rPr>
                <w:rFonts w:ascii="Times New Roman" w:hAnsi="Times New Roman" w:cs="Times New Roman"/>
                <w:sz w:val="24"/>
                <w:szCs w:val="24"/>
              </w:rPr>
              <w:t xml:space="preserve"> - </w:t>
            </w:r>
            <w:proofErr w:type="spellStart"/>
            <w:r w:rsidRPr="0063678B">
              <w:rPr>
                <w:rFonts w:ascii="Times New Roman" w:hAnsi="Times New Roman" w:cs="Times New Roman"/>
                <w:sz w:val="24"/>
                <w:szCs w:val="24"/>
              </w:rPr>
              <w:t>Wyeth_Whitehall</w:t>
            </w:r>
            <w:proofErr w:type="spellEnd"/>
          </w:p>
        </w:tc>
      </w:tr>
      <w:tr w:rsidR="00D51F6B" w:rsidRPr="0063678B" w:rsidTr="007A5A5E">
        <w:trPr>
          <w:jc w:val="center"/>
        </w:trPr>
        <w:tc>
          <w:tcPr>
            <w:tcW w:w="2206" w:type="dxa"/>
          </w:tcPr>
          <w:p w:rsidR="00D51F6B" w:rsidRPr="0063678B" w:rsidRDefault="001924D2" w:rsidP="0063678B">
            <w:pPr>
              <w:spacing w:before="300" w:after="300"/>
              <w:contextualSpacing/>
              <w:jc w:val="both"/>
              <w:rPr>
                <w:rFonts w:ascii="Times New Roman" w:hAnsi="Times New Roman" w:cs="Times New Roman"/>
                <w:sz w:val="24"/>
                <w:szCs w:val="24"/>
              </w:rPr>
            </w:pPr>
            <w:proofErr w:type="spellStart"/>
            <w:r w:rsidRPr="0063678B">
              <w:rPr>
                <w:rFonts w:ascii="Times New Roman" w:hAnsi="Times New Roman" w:cs="Times New Roman"/>
                <w:sz w:val="24"/>
                <w:szCs w:val="24"/>
              </w:rPr>
              <w:t>Procainamida</w:t>
            </w:r>
            <w:proofErr w:type="spellEnd"/>
          </w:p>
        </w:tc>
        <w:tc>
          <w:tcPr>
            <w:tcW w:w="3414" w:type="dxa"/>
          </w:tcPr>
          <w:p w:rsidR="00D51F6B" w:rsidRPr="0063678B" w:rsidRDefault="00D51F6B" w:rsidP="0063678B">
            <w:pPr>
              <w:jc w:val="both"/>
              <w:rPr>
                <w:rFonts w:ascii="Times New Roman" w:hAnsi="Times New Roman" w:cs="Times New Roman"/>
                <w:sz w:val="24"/>
                <w:szCs w:val="24"/>
              </w:rPr>
            </w:pPr>
            <w:r w:rsidRPr="0063678B">
              <w:rPr>
                <w:rFonts w:ascii="Times New Roman" w:hAnsi="Times New Roman" w:cs="Times New Roman"/>
                <w:sz w:val="24"/>
                <w:szCs w:val="24"/>
              </w:rPr>
              <w:t>Comprimidos</w:t>
            </w:r>
          </w:p>
        </w:tc>
        <w:tc>
          <w:tcPr>
            <w:tcW w:w="3433" w:type="dxa"/>
          </w:tcPr>
          <w:p w:rsidR="00D51F6B"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Procamide</w:t>
            </w:r>
            <w:proofErr w:type="spellEnd"/>
            <w:r w:rsidRPr="0063678B">
              <w:rPr>
                <w:rFonts w:ascii="Times New Roman" w:hAnsi="Times New Roman" w:cs="Times New Roman"/>
                <w:sz w:val="24"/>
                <w:szCs w:val="24"/>
              </w:rPr>
              <w:t xml:space="preserve"> - </w:t>
            </w:r>
            <w:proofErr w:type="spellStart"/>
            <w:r w:rsidRPr="0063678B">
              <w:rPr>
                <w:rFonts w:ascii="Times New Roman" w:hAnsi="Times New Roman" w:cs="Times New Roman"/>
                <w:sz w:val="24"/>
                <w:szCs w:val="24"/>
              </w:rPr>
              <w:t>Zambon</w:t>
            </w:r>
            <w:proofErr w:type="spellEnd"/>
          </w:p>
        </w:tc>
      </w:tr>
      <w:tr w:rsidR="00D51F6B" w:rsidRPr="0063678B" w:rsidTr="007A5A5E">
        <w:trPr>
          <w:jc w:val="center"/>
        </w:trPr>
        <w:tc>
          <w:tcPr>
            <w:tcW w:w="2206" w:type="dxa"/>
          </w:tcPr>
          <w:p w:rsidR="00D51F6B" w:rsidRPr="0063678B" w:rsidRDefault="001924D2" w:rsidP="0063678B">
            <w:pPr>
              <w:spacing w:before="300" w:after="300"/>
              <w:contextualSpacing/>
              <w:jc w:val="both"/>
              <w:rPr>
                <w:rFonts w:ascii="Times New Roman" w:hAnsi="Times New Roman" w:cs="Times New Roman"/>
                <w:sz w:val="24"/>
                <w:szCs w:val="24"/>
              </w:rPr>
            </w:pPr>
            <w:r w:rsidRPr="0063678B">
              <w:rPr>
                <w:rFonts w:ascii="Times New Roman" w:hAnsi="Times New Roman" w:cs="Times New Roman"/>
                <w:sz w:val="24"/>
                <w:szCs w:val="24"/>
              </w:rPr>
              <w:t>Quinidina</w:t>
            </w:r>
          </w:p>
        </w:tc>
        <w:tc>
          <w:tcPr>
            <w:tcW w:w="3414" w:type="dxa"/>
          </w:tcPr>
          <w:p w:rsidR="00D51F6B" w:rsidRPr="0063678B" w:rsidRDefault="00D51F6B" w:rsidP="0063678B">
            <w:pPr>
              <w:jc w:val="both"/>
              <w:rPr>
                <w:rFonts w:ascii="Times New Roman" w:hAnsi="Times New Roman" w:cs="Times New Roman"/>
                <w:sz w:val="24"/>
                <w:szCs w:val="24"/>
              </w:rPr>
            </w:pPr>
            <w:r w:rsidRPr="0063678B">
              <w:rPr>
                <w:rFonts w:ascii="Times New Roman" w:hAnsi="Times New Roman" w:cs="Times New Roman"/>
                <w:sz w:val="24"/>
                <w:szCs w:val="24"/>
              </w:rPr>
              <w:t>Comprimidos</w:t>
            </w:r>
          </w:p>
        </w:tc>
        <w:tc>
          <w:tcPr>
            <w:tcW w:w="3433" w:type="dxa"/>
          </w:tcPr>
          <w:p w:rsidR="00D51F6B"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Quinidine</w:t>
            </w:r>
            <w:proofErr w:type="spellEnd"/>
            <w:r w:rsidRPr="0063678B">
              <w:rPr>
                <w:rFonts w:ascii="Times New Roman" w:hAnsi="Times New Roman" w:cs="Times New Roman"/>
                <w:sz w:val="24"/>
                <w:szCs w:val="24"/>
              </w:rPr>
              <w:t xml:space="preserve"> </w:t>
            </w:r>
            <w:proofErr w:type="spellStart"/>
            <w:r w:rsidRPr="0063678B">
              <w:rPr>
                <w:rFonts w:ascii="Times New Roman" w:hAnsi="Times New Roman" w:cs="Times New Roman"/>
                <w:sz w:val="24"/>
                <w:szCs w:val="24"/>
              </w:rPr>
              <w:t>Duriles</w:t>
            </w:r>
            <w:proofErr w:type="spellEnd"/>
            <w:r w:rsidRPr="0063678B">
              <w:rPr>
                <w:rFonts w:ascii="Times New Roman" w:hAnsi="Times New Roman" w:cs="Times New Roman"/>
                <w:sz w:val="24"/>
                <w:szCs w:val="24"/>
              </w:rPr>
              <w:t xml:space="preserve"> - AstraZeneca</w:t>
            </w:r>
          </w:p>
        </w:tc>
      </w:tr>
      <w:tr w:rsidR="00D51F6B" w:rsidRPr="0063678B" w:rsidTr="007A5A5E">
        <w:trPr>
          <w:jc w:val="center"/>
        </w:trPr>
        <w:tc>
          <w:tcPr>
            <w:tcW w:w="2206" w:type="dxa"/>
          </w:tcPr>
          <w:p w:rsidR="00D51F6B" w:rsidRPr="0063678B" w:rsidRDefault="001924D2" w:rsidP="0063678B">
            <w:pPr>
              <w:spacing w:before="300" w:after="300"/>
              <w:contextualSpacing/>
              <w:jc w:val="both"/>
              <w:rPr>
                <w:rFonts w:ascii="Times New Roman" w:hAnsi="Times New Roman" w:cs="Times New Roman"/>
                <w:sz w:val="24"/>
                <w:szCs w:val="24"/>
              </w:rPr>
            </w:pPr>
            <w:r w:rsidRPr="0063678B">
              <w:rPr>
                <w:rFonts w:ascii="Times New Roman" w:hAnsi="Times New Roman" w:cs="Times New Roman"/>
                <w:sz w:val="24"/>
                <w:szCs w:val="24"/>
              </w:rPr>
              <w:t>Teofilina</w:t>
            </w:r>
          </w:p>
        </w:tc>
        <w:tc>
          <w:tcPr>
            <w:tcW w:w="3414" w:type="dxa"/>
          </w:tcPr>
          <w:p w:rsidR="00D51F6B" w:rsidRPr="0063678B" w:rsidRDefault="00D51F6B" w:rsidP="0063678B">
            <w:pPr>
              <w:spacing w:before="300" w:after="300"/>
              <w:contextualSpacing/>
              <w:jc w:val="both"/>
              <w:rPr>
                <w:rFonts w:ascii="Times New Roman" w:hAnsi="Times New Roman" w:cs="Times New Roman"/>
                <w:b/>
                <w:color w:val="0000FF"/>
                <w:sz w:val="24"/>
                <w:szCs w:val="24"/>
              </w:rPr>
            </w:pPr>
            <w:r w:rsidRPr="0063678B">
              <w:rPr>
                <w:rFonts w:ascii="Times New Roman" w:hAnsi="Times New Roman" w:cs="Times New Roman"/>
                <w:sz w:val="24"/>
                <w:szCs w:val="24"/>
              </w:rPr>
              <w:t>Cápsulas</w:t>
            </w:r>
          </w:p>
        </w:tc>
        <w:tc>
          <w:tcPr>
            <w:tcW w:w="3433" w:type="dxa"/>
          </w:tcPr>
          <w:p w:rsidR="00D51F6B"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Teolong</w:t>
            </w:r>
            <w:proofErr w:type="spellEnd"/>
            <w:r w:rsidRPr="0063678B">
              <w:rPr>
                <w:rFonts w:ascii="Times New Roman" w:hAnsi="Times New Roman" w:cs="Times New Roman"/>
                <w:sz w:val="24"/>
                <w:szCs w:val="24"/>
              </w:rPr>
              <w:t xml:space="preserve"> - </w:t>
            </w:r>
            <w:proofErr w:type="spellStart"/>
            <w:r w:rsidRPr="0063678B">
              <w:rPr>
                <w:rFonts w:ascii="Times New Roman" w:hAnsi="Times New Roman" w:cs="Times New Roman"/>
                <w:sz w:val="24"/>
                <w:szCs w:val="24"/>
              </w:rPr>
              <w:t>Knoll</w:t>
            </w:r>
            <w:proofErr w:type="spellEnd"/>
          </w:p>
        </w:tc>
      </w:tr>
      <w:tr w:rsidR="00D51F6B" w:rsidRPr="0063678B" w:rsidTr="007A5A5E">
        <w:trPr>
          <w:jc w:val="center"/>
        </w:trPr>
        <w:tc>
          <w:tcPr>
            <w:tcW w:w="2206" w:type="dxa"/>
          </w:tcPr>
          <w:p w:rsidR="00D51F6B" w:rsidRPr="0063678B" w:rsidRDefault="001924D2" w:rsidP="0063678B">
            <w:pPr>
              <w:spacing w:before="300" w:after="300"/>
              <w:contextualSpacing/>
              <w:jc w:val="both"/>
              <w:rPr>
                <w:rFonts w:ascii="Times New Roman" w:hAnsi="Times New Roman" w:cs="Times New Roman"/>
                <w:sz w:val="24"/>
                <w:szCs w:val="24"/>
              </w:rPr>
            </w:pPr>
            <w:proofErr w:type="spellStart"/>
            <w:r w:rsidRPr="0063678B">
              <w:rPr>
                <w:rFonts w:ascii="Times New Roman" w:hAnsi="Times New Roman" w:cs="Times New Roman"/>
                <w:sz w:val="24"/>
                <w:szCs w:val="24"/>
              </w:rPr>
              <w:t>Verapamil</w:t>
            </w:r>
            <w:proofErr w:type="spellEnd"/>
          </w:p>
        </w:tc>
        <w:tc>
          <w:tcPr>
            <w:tcW w:w="3414" w:type="dxa"/>
          </w:tcPr>
          <w:p w:rsidR="00D51F6B" w:rsidRPr="0063678B" w:rsidRDefault="00D51F6B" w:rsidP="0063678B">
            <w:pPr>
              <w:jc w:val="both"/>
              <w:rPr>
                <w:rFonts w:ascii="Times New Roman" w:hAnsi="Times New Roman" w:cs="Times New Roman"/>
                <w:sz w:val="24"/>
                <w:szCs w:val="24"/>
              </w:rPr>
            </w:pPr>
            <w:r w:rsidRPr="0063678B">
              <w:rPr>
                <w:rFonts w:ascii="Times New Roman" w:hAnsi="Times New Roman" w:cs="Times New Roman"/>
                <w:sz w:val="24"/>
                <w:szCs w:val="24"/>
              </w:rPr>
              <w:t>Comprimidos</w:t>
            </w:r>
          </w:p>
        </w:tc>
        <w:tc>
          <w:tcPr>
            <w:tcW w:w="3433" w:type="dxa"/>
          </w:tcPr>
          <w:p w:rsidR="00D51F6B"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Dilacoron</w:t>
            </w:r>
            <w:proofErr w:type="spellEnd"/>
            <w:r w:rsidRPr="0063678B">
              <w:rPr>
                <w:rFonts w:ascii="Times New Roman" w:hAnsi="Times New Roman" w:cs="Times New Roman"/>
                <w:sz w:val="24"/>
                <w:szCs w:val="24"/>
              </w:rPr>
              <w:t xml:space="preserve"> - </w:t>
            </w:r>
            <w:proofErr w:type="spellStart"/>
            <w:r w:rsidRPr="0063678B">
              <w:rPr>
                <w:rFonts w:ascii="Times New Roman" w:hAnsi="Times New Roman" w:cs="Times New Roman"/>
                <w:sz w:val="24"/>
                <w:szCs w:val="24"/>
              </w:rPr>
              <w:t>Knoll</w:t>
            </w:r>
            <w:proofErr w:type="spellEnd"/>
          </w:p>
        </w:tc>
      </w:tr>
      <w:tr w:rsidR="00D51F6B" w:rsidRPr="0063678B" w:rsidTr="007A5A5E">
        <w:trPr>
          <w:jc w:val="center"/>
        </w:trPr>
        <w:tc>
          <w:tcPr>
            <w:tcW w:w="2206" w:type="dxa"/>
          </w:tcPr>
          <w:p w:rsidR="00D51F6B" w:rsidRPr="0063678B" w:rsidRDefault="001924D2" w:rsidP="0063678B">
            <w:pPr>
              <w:spacing w:before="300" w:after="300"/>
              <w:contextualSpacing/>
              <w:jc w:val="both"/>
              <w:rPr>
                <w:rFonts w:ascii="Times New Roman" w:hAnsi="Times New Roman" w:cs="Times New Roman"/>
                <w:sz w:val="24"/>
                <w:szCs w:val="24"/>
              </w:rPr>
            </w:pPr>
            <w:r w:rsidRPr="0063678B">
              <w:rPr>
                <w:rFonts w:ascii="Times New Roman" w:hAnsi="Times New Roman" w:cs="Times New Roman"/>
                <w:sz w:val="24"/>
                <w:szCs w:val="24"/>
              </w:rPr>
              <w:t>Warfarina</w:t>
            </w:r>
          </w:p>
        </w:tc>
        <w:tc>
          <w:tcPr>
            <w:tcW w:w="3414" w:type="dxa"/>
          </w:tcPr>
          <w:p w:rsidR="00D51F6B" w:rsidRPr="0063678B" w:rsidRDefault="00D51F6B" w:rsidP="0063678B">
            <w:pPr>
              <w:jc w:val="both"/>
              <w:rPr>
                <w:rFonts w:ascii="Times New Roman" w:hAnsi="Times New Roman" w:cs="Times New Roman"/>
                <w:sz w:val="24"/>
                <w:szCs w:val="24"/>
              </w:rPr>
            </w:pPr>
            <w:r w:rsidRPr="0063678B">
              <w:rPr>
                <w:rFonts w:ascii="Times New Roman" w:hAnsi="Times New Roman" w:cs="Times New Roman"/>
                <w:sz w:val="24"/>
                <w:szCs w:val="24"/>
              </w:rPr>
              <w:t>Comprimidos</w:t>
            </w:r>
          </w:p>
        </w:tc>
        <w:tc>
          <w:tcPr>
            <w:tcW w:w="3433" w:type="dxa"/>
          </w:tcPr>
          <w:p w:rsidR="00D51F6B" w:rsidRPr="0063678B" w:rsidRDefault="001924D2" w:rsidP="0063678B">
            <w:pPr>
              <w:spacing w:before="300" w:after="300"/>
              <w:contextualSpacing/>
              <w:jc w:val="both"/>
              <w:rPr>
                <w:rFonts w:ascii="Times New Roman" w:hAnsi="Times New Roman" w:cs="Times New Roman"/>
                <w:b/>
                <w:color w:val="0000FF"/>
                <w:sz w:val="24"/>
                <w:szCs w:val="24"/>
              </w:rPr>
            </w:pPr>
            <w:proofErr w:type="spellStart"/>
            <w:r w:rsidRPr="0063678B">
              <w:rPr>
                <w:rFonts w:ascii="Times New Roman" w:hAnsi="Times New Roman" w:cs="Times New Roman"/>
                <w:sz w:val="24"/>
                <w:szCs w:val="24"/>
              </w:rPr>
              <w:t>Marevan</w:t>
            </w:r>
            <w:proofErr w:type="spellEnd"/>
            <w:r w:rsidRPr="0063678B">
              <w:rPr>
                <w:rFonts w:ascii="Times New Roman" w:hAnsi="Times New Roman" w:cs="Times New Roman"/>
                <w:sz w:val="24"/>
                <w:szCs w:val="24"/>
              </w:rPr>
              <w:t xml:space="preserve"> - </w:t>
            </w:r>
            <w:proofErr w:type="spellStart"/>
            <w:r w:rsidRPr="0063678B">
              <w:rPr>
                <w:rFonts w:ascii="Times New Roman" w:hAnsi="Times New Roman" w:cs="Times New Roman"/>
                <w:sz w:val="24"/>
                <w:szCs w:val="24"/>
              </w:rPr>
              <w:t>Zest</w:t>
            </w:r>
            <w:proofErr w:type="spellEnd"/>
            <w:r w:rsidRPr="0063678B">
              <w:rPr>
                <w:rFonts w:ascii="Times New Roman" w:hAnsi="Times New Roman" w:cs="Times New Roman"/>
                <w:sz w:val="24"/>
                <w:szCs w:val="24"/>
              </w:rPr>
              <w:t xml:space="preserve"> </w:t>
            </w:r>
            <w:proofErr w:type="spellStart"/>
            <w:r w:rsidRPr="0063678B">
              <w:rPr>
                <w:rFonts w:ascii="Times New Roman" w:hAnsi="Times New Roman" w:cs="Times New Roman"/>
                <w:sz w:val="24"/>
                <w:szCs w:val="24"/>
              </w:rPr>
              <w:t>Ftca</w:t>
            </w:r>
            <w:proofErr w:type="spellEnd"/>
          </w:p>
        </w:tc>
      </w:tr>
    </w:tbl>
    <w:p w:rsidR="00217B03" w:rsidRPr="0063678B" w:rsidRDefault="0063678B" w:rsidP="0063678B">
      <w:pPr>
        <w:spacing w:before="300" w:after="300" w:line="240" w:lineRule="auto"/>
        <w:ind w:firstLine="573"/>
        <w:jc w:val="both"/>
        <w:rPr>
          <w:rFonts w:ascii="Times New Roman" w:hAnsi="Times New Roman" w:cs="Times New Roman"/>
          <w:sz w:val="24"/>
          <w:szCs w:val="24"/>
        </w:rPr>
      </w:pPr>
      <w:r>
        <w:rPr>
          <w:rFonts w:ascii="Times New Roman" w:hAnsi="Times New Roman" w:cs="Times New Roman"/>
          <w:sz w:val="24"/>
          <w:szCs w:val="24"/>
        </w:rPr>
        <w:t>§ 1º</w:t>
      </w:r>
      <w:r w:rsidR="00217B03" w:rsidRPr="0063678B">
        <w:rPr>
          <w:rFonts w:ascii="Times New Roman" w:hAnsi="Times New Roman" w:cs="Times New Roman"/>
          <w:sz w:val="24"/>
          <w:szCs w:val="24"/>
        </w:rPr>
        <w:t xml:space="preserve"> As empresas detentoras de registro de medicamentos que contenham os princípios ativos listados no parágrafo </w:t>
      </w:r>
      <w:proofErr w:type="gramStart"/>
      <w:r w:rsidR="00217B03" w:rsidRPr="0063678B">
        <w:rPr>
          <w:rFonts w:ascii="Times New Roman" w:hAnsi="Times New Roman" w:cs="Times New Roman"/>
          <w:sz w:val="24"/>
          <w:szCs w:val="24"/>
        </w:rPr>
        <w:t>anterior ,</w:t>
      </w:r>
      <w:proofErr w:type="gramEnd"/>
      <w:r w:rsidR="00217B03" w:rsidRPr="0063678B">
        <w:rPr>
          <w:rFonts w:ascii="Times New Roman" w:hAnsi="Times New Roman" w:cs="Times New Roman"/>
          <w:sz w:val="24"/>
          <w:szCs w:val="24"/>
        </w:rPr>
        <w:t xml:space="preserve"> isolados ou em associações, que não apresentarem as informações requeridas no prazo estipulado, terão seus registros cancelados. </w:t>
      </w:r>
    </w:p>
    <w:p w:rsidR="00217B03" w:rsidRPr="0063678B" w:rsidRDefault="00217B03" w:rsidP="0063678B">
      <w:pPr>
        <w:spacing w:before="300" w:after="300" w:line="240" w:lineRule="auto"/>
        <w:ind w:firstLine="573"/>
        <w:jc w:val="both"/>
        <w:rPr>
          <w:rFonts w:ascii="Times New Roman" w:hAnsi="Times New Roman" w:cs="Times New Roman"/>
          <w:sz w:val="24"/>
          <w:szCs w:val="24"/>
        </w:rPr>
      </w:pPr>
      <w:r w:rsidRPr="0063678B">
        <w:rPr>
          <w:rFonts w:ascii="Times New Roman" w:hAnsi="Times New Roman" w:cs="Times New Roman"/>
          <w:sz w:val="24"/>
          <w:szCs w:val="24"/>
        </w:rPr>
        <w:t xml:space="preserve">§ 2° Em casos excepcionais que os estudos de biodisponibilidade relativa não estiverem concluídos no prazo estipulado por esta resolução por razões independentes da ação da empresa, não terão o registro cancelado, sendo que o não cancelamento dependerá da apresentação dos seguintes documentos: </w:t>
      </w:r>
    </w:p>
    <w:p w:rsidR="00217B03" w:rsidRPr="0063678B" w:rsidRDefault="00217B03" w:rsidP="0063678B">
      <w:pPr>
        <w:spacing w:before="300" w:after="300" w:line="240" w:lineRule="auto"/>
        <w:ind w:firstLine="573"/>
        <w:jc w:val="both"/>
        <w:rPr>
          <w:rFonts w:ascii="Times New Roman" w:hAnsi="Times New Roman" w:cs="Times New Roman"/>
          <w:sz w:val="24"/>
          <w:szCs w:val="24"/>
        </w:rPr>
      </w:pPr>
      <w:r w:rsidRPr="0063678B">
        <w:rPr>
          <w:rFonts w:ascii="Times New Roman" w:hAnsi="Times New Roman" w:cs="Times New Roman"/>
          <w:sz w:val="24"/>
          <w:szCs w:val="24"/>
        </w:rPr>
        <w:t xml:space="preserve">I) relatório das medidas adotadas pela empresa como prova de intenção de cumprimento da nova legislação; </w:t>
      </w:r>
    </w:p>
    <w:p w:rsidR="00217B03" w:rsidRPr="0063678B" w:rsidRDefault="00217B03" w:rsidP="0063678B">
      <w:pPr>
        <w:spacing w:before="300" w:after="300" w:line="240" w:lineRule="auto"/>
        <w:ind w:firstLine="573"/>
        <w:jc w:val="both"/>
        <w:rPr>
          <w:rFonts w:ascii="Times New Roman" w:hAnsi="Times New Roman" w:cs="Times New Roman"/>
          <w:sz w:val="24"/>
          <w:szCs w:val="24"/>
        </w:rPr>
      </w:pPr>
      <w:r w:rsidRPr="0063678B">
        <w:rPr>
          <w:rFonts w:ascii="Times New Roman" w:hAnsi="Times New Roman" w:cs="Times New Roman"/>
          <w:sz w:val="24"/>
          <w:szCs w:val="24"/>
        </w:rPr>
        <w:t xml:space="preserve">II) comprovante da data de entrada do teste no centro certificado; </w:t>
      </w:r>
    </w:p>
    <w:p w:rsidR="00217B03" w:rsidRPr="0063678B" w:rsidRDefault="00217B03" w:rsidP="0063678B">
      <w:pPr>
        <w:spacing w:before="300" w:after="300" w:line="240" w:lineRule="auto"/>
        <w:ind w:firstLine="573"/>
        <w:jc w:val="both"/>
        <w:rPr>
          <w:rFonts w:ascii="Times New Roman" w:hAnsi="Times New Roman" w:cs="Times New Roman"/>
          <w:sz w:val="24"/>
          <w:szCs w:val="24"/>
        </w:rPr>
      </w:pPr>
      <w:r w:rsidRPr="0063678B">
        <w:rPr>
          <w:rFonts w:ascii="Times New Roman" w:hAnsi="Times New Roman" w:cs="Times New Roman"/>
          <w:sz w:val="24"/>
          <w:szCs w:val="24"/>
        </w:rPr>
        <w:t xml:space="preserve">III) relatório do centro certificado com a justificativa do atraso e prazo de cumprimento. </w:t>
      </w:r>
    </w:p>
    <w:p w:rsidR="00217B03" w:rsidRPr="0063678B" w:rsidRDefault="00217B03" w:rsidP="0063678B">
      <w:pPr>
        <w:spacing w:before="300" w:after="300" w:line="240" w:lineRule="auto"/>
        <w:ind w:firstLine="573"/>
        <w:jc w:val="both"/>
        <w:rPr>
          <w:rFonts w:ascii="Times New Roman" w:hAnsi="Times New Roman" w:cs="Times New Roman"/>
          <w:sz w:val="24"/>
          <w:szCs w:val="24"/>
        </w:rPr>
      </w:pPr>
      <w:r w:rsidRPr="0063678B">
        <w:rPr>
          <w:rFonts w:ascii="Times New Roman" w:hAnsi="Times New Roman" w:cs="Times New Roman"/>
          <w:sz w:val="24"/>
          <w:szCs w:val="24"/>
        </w:rPr>
        <w:t xml:space="preserve">§ 3° A manutenção do registro nos casos do § 2° será permitida podendo ser cancelada em função do resultado final do teste”. (NR) </w:t>
      </w:r>
    </w:p>
    <w:p w:rsidR="008225BB" w:rsidRDefault="00217B03" w:rsidP="000C509B">
      <w:pPr>
        <w:spacing w:before="300" w:after="300" w:line="240" w:lineRule="auto"/>
        <w:ind w:firstLine="573"/>
        <w:jc w:val="both"/>
        <w:rPr>
          <w:rFonts w:ascii="Times New Roman" w:hAnsi="Times New Roman" w:cs="Times New Roman"/>
          <w:b/>
          <w:color w:val="0000FF"/>
          <w:sz w:val="24"/>
          <w:szCs w:val="24"/>
        </w:rPr>
      </w:pPr>
      <w:proofErr w:type="spellStart"/>
      <w:r w:rsidRPr="0063678B">
        <w:rPr>
          <w:rFonts w:ascii="Times New Roman" w:hAnsi="Times New Roman" w:cs="Times New Roman"/>
          <w:strike/>
          <w:sz w:val="24"/>
          <w:szCs w:val="24"/>
        </w:rPr>
        <w:t>Art</w:t>
      </w:r>
      <w:proofErr w:type="spellEnd"/>
      <w:r w:rsidRPr="0063678B">
        <w:rPr>
          <w:rFonts w:ascii="Times New Roman" w:hAnsi="Times New Roman" w:cs="Times New Roman"/>
          <w:strike/>
          <w:sz w:val="24"/>
          <w:szCs w:val="24"/>
        </w:rPr>
        <w:t xml:space="preserve"> 4° A alínea “d”, do item 4, do inciso III - Das Medidas do Pós-Registro, do Regulamento Técnico para Medicamentos Novos ou Inovadores com Princípios Ativos Sintéticos ou </w:t>
      </w:r>
      <w:proofErr w:type="spellStart"/>
      <w:r w:rsidRPr="0063678B">
        <w:rPr>
          <w:rFonts w:ascii="Times New Roman" w:hAnsi="Times New Roman" w:cs="Times New Roman"/>
          <w:strike/>
          <w:sz w:val="24"/>
          <w:szCs w:val="24"/>
        </w:rPr>
        <w:t>Semi-Sintéticos</w:t>
      </w:r>
      <w:proofErr w:type="spellEnd"/>
      <w:r w:rsidRPr="0063678B">
        <w:rPr>
          <w:rFonts w:ascii="Times New Roman" w:hAnsi="Times New Roman" w:cs="Times New Roman"/>
          <w:strike/>
          <w:sz w:val="24"/>
          <w:szCs w:val="24"/>
        </w:rPr>
        <w:t xml:space="preserve">, anexo da Resolução RDC n° 136, de 29 de maio de 2003 e a alínea “d”, do item 4, do Inciso III - Das Medidas do Pós-Registro, anexo à Resolução RDC n° 133, de 29 de maio de 2003, passam a vigorar com a seguinte redação: </w:t>
      </w:r>
      <w:r w:rsidR="004C3528" w:rsidRPr="0063678B">
        <w:rPr>
          <w:rFonts w:ascii="Times New Roman" w:hAnsi="Times New Roman" w:cs="Times New Roman"/>
          <w:b/>
          <w:color w:val="0000FF"/>
          <w:sz w:val="24"/>
          <w:szCs w:val="24"/>
        </w:rPr>
        <w:t>(Revogado pela Resolução – RDC nº 60 de 10 de outubro de 2014)</w:t>
      </w:r>
      <w:r w:rsidR="000C509B" w:rsidRPr="000C509B">
        <w:rPr>
          <w:rFonts w:ascii="Times New Roman" w:hAnsi="Times New Roman" w:cs="Times New Roman"/>
          <w:b/>
          <w:color w:val="0000FF"/>
          <w:sz w:val="24"/>
          <w:szCs w:val="24"/>
        </w:rPr>
        <w:t xml:space="preserve"> </w:t>
      </w:r>
    </w:p>
    <w:p w:rsidR="008225BB" w:rsidRDefault="00217B03" w:rsidP="000C509B">
      <w:pPr>
        <w:spacing w:before="300" w:after="300" w:line="240" w:lineRule="auto"/>
        <w:ind w:firstLine="573"/>
        <w:jc w:val="both"/>
        <w:rPr>
          <w:rFonts w:ascii="Times New Roman" w:hAnsi="Times New Roman" w:cs="Times New Roman"/>
          <w:b/>
          <w:color w:val="0000FF"/>
          <w:sz w:val="24"/>
          <w:szCs w:val="24"/>
        </w:rPr>
      </w:pPr>
      <w:r w:rsidRPr="0063678B">
        <w:rPr>
          <w:rFonts w:ascii="Times New Roman" w:hAnsi="Times New Roman" w:cs="Times New Roman"/>
          <w:strike/>
          <w:sz w:val="24"/>
          <w:szCs w:val="24"/>
        </w:rPr>
        <w:lastRenderedPageBreak/>
        <w:t xml:space="preserve">“III DAS MEDIDAS DO PÓS-REGISTRO </w:t>
      </w:r>
      <w:r w:rsidR="004C3528" w:rsidRPr="0063678B">
        <w:rPr>
          <w:rFonts w:ascii="Times New Roman" w:hAnsi="Times New Roman" w:cs="Times New Roman"/>
          <w:b/>
          <w:color w:val="0000FF"/>
          <w:sz w:val="24"/>
          <w:szCs w:val="24"/>
        </w:rPr>
        <w:t>(Revogado pela Resolução – RDC nº 60 de 10 de outubro de 2014)</w:t>
      </w:r>
    </w:p>
    <w:p w:rsidR="008225BB" w:rsidRDefault="00217B03" w:rsidP="000C509B">
      <w:pPr>
        <w:spacing w:before="300" w:after="300" w:line="240" w:lineRule="auto"/>
        <w:ind w:firstLine="573"/>
        <w:jc w:val="both"/>
        <w:rPr>
          <w:rFonts w:ascii="Times New Roman" w:hAnsi="Times New Roman" w:cs="Times New Roman"/>
          <w:b/>
          <w:color w:val="0000FF"/>
          <w:sz w:val="24"/>
          <w:szCs w:val="24"/>
        </w:rPr>
      </w:pPr>
      <w:r w:rsidRPr="0063678B">
        <w:rPr>
          <w:rFonts w:ascii="Times New Roman" w:hAnsi="Times New Roman" w:cs="Times New Roman"/>
          <w:strike/>
          <w:sz w:val="24"/>
          <w:szCs w:val="24"/>
        </w:rPr>
        <w:t xml:space="preserve">.................................................................................................. </w:t>
      </w:r>
      <w:r w:rsidR="004C3528" w:rsidRPr="0063678B">
        <w:rPr>
          <w:rFonts w:ascii="Times New Roman" w:hAnsi="Times New Roman" w:cs="Times New Roman"/>
          <w:b/>
          <w:color w:val="0000FF"/>
          <w:sz w:val="24"/>
          <w:szCs w:val="24"/>
        </w:rPr>
        <w:t>(Revogado pela Resolução – RDC nº 60 de 10 de outubro de 2014)</w:t>
      </w:r>
      <w:r w:rsidR="000C509B" w:rsidRPr="000C509B">
        <w:rPr>
          <w:rFonts w:ascii="Times New Roman" w:hAnsi="Times New Roman" w:cs="Times New Roman"/>
          <w:b/>
          <w:color w:val="0000FF"/>
          <w:sz w:val="24"/>
          <w:szCs w:val="24"/>
        </w:rPr>
        <w:t xml:space="preserve"> </w:t>
      </w:r>
    </w:p>
    <w:p w:rsidR="008225BB" w:rsidRDefault="00217B03" w:rsidP="000C509B">
      <w:pPr>
        <w:spacing w:before="300" w:after="300" w:line="240" w:lineRule="auto"/>
        <w:ind w:firstLine="573"/>
        <w:jc w:val="both"/>
        <w:rPr>
          <w:rFonts w:ascii="Times New Roman" w:hAnsi="Times New Roman" w:cs="Times New Roman"/>
          <w:b/>
          <w:color w:val="0000FF"/>
          <w:sz w:val="24"/>
          <w:szCs w:val="24"/>
        </w:rPr>
      </w:pPr>
      <w:r w:rsidRPr="0063678B">
        <w:rPr>
          <w:rFonts w:ascii="Times New Roman" w:hAnsi="Times New Roman" w:cs="Times New Roman"/>
          <w:strike/>
          <w:sz w:val="24"/>
          <w:szCs w:val="24"/>
        </w:rPr>
        <w:t xml:space="preserve">4 ............................................................................................... </w:t>
      </w:r>
      <w:r w:rsidR="004C3528" w:rsidRPr="0063678B">
        <w:rPr>
          <w:rFonts w:ascii="Times New Roman" w:hAnsi="Times New Roman" w:cs="Times New Roman"/>
          <w:b/>
          <w:color w:val="0000FF"/>
          <w:sz w:val="24"/>
          <w:szCs w:val="24"/>
        </w:rPr>
        <w:t>(Revogado pela Resolução – RDC nº 60 de 10 de outubro de 2014)</w:t>
      </w:r>
      <w:r w:rsidR="000C509B" w:rsidRPr="000C509B">
        <w:rPr>
          <w:rFonts w:ascii="Times New Roman" w:hAnsi="Times New Roman" w:cs="Times New Roman"/>
          <w:b/>
          <w:color w:val="0000FF"/>
          <w:sz w:val="24"/>
          <w:szCs w:val="24"/>
        </w:rPr>
        <w:t xml:space="preserve"> </w:t>
      </w:r>
    </w:p>
    <w:p w:rsidR="000C509B" w:rsidRPr="0063678B" w:rsidRDefault="00217B03" w:rsidP="000C509B">
      <w:pPr>
        <w:spacing w:before="300" w:after="300" w:line="240" w:lineRule="auto"/>
        <w:ind w:firstLine="573"/>
        <w:jc w:val="both"/>
        <w:rPr>
          <w:rFonts w:ascii="Times New Roman" w:hAnsi="Times New Roman" w:cs="Times New Roman"/>
          <w:strike/>
          <w:sz w:val="24"/>
          <w:szCs w:val="24"/>
        </w:rPr>
      </w:pPr>
      <w:proofErr w:type="gramStart"/>
      <w:r w:rsidRPr="0063678B">
        <w:rPr>
          <w:rFonts w:ascii="Times New Roman" w:hAnsi="Times New Roman" w:cs="Times New Roman"/>
          <w:strike/>
          <w:sz w:val="24"/>
          <w:szCs w:val="24"/>
        </w:rPr>
        <w:t>d) Apresentar</w:t>
      </w:r>
      <w:proofErr w:type="gramEnd"/>
      <w:r w:rsidRPr="0063678B">
        <w:rPr>
          <w:rFonts w:ascii="Times New Roman" w:hAnsi="Times New Roman" w:cs="Times New Roman"/>
          <w:strike/>
          <w:sz w:val="24"/>
          <w:szCs w:val="24"/>
        </w:rPr>
        <w:t xml:space="preserve"> documento comprobatório de venda no período de vigência do registro, e os números das notas fiscais e a relação de estabelecimentos compradores em um máximo de 3 (três) notas por forma farmacêutica e concentração. Poderá ser apresentada declaração referente às apresentações comerciais não comercializadas das quais a empresa tenha interesse em manter o registro, desde que pelo menos uma apresentação daquela forma farmacêutica e concentração tenha sido comercializada. Poderá, ainda, ser apresentado comprovante de exportação no caso de produtos registrados exclusivamente para esse fim. Quando não houver a produção do medicamento no referido pe</w:t>
      </w:r>
      <w:r w:rsidR="007A5A5E">
        <w:rPr>
          <w:rFonts w:ascii="Times New Roman" w:hAnsi="Times New Roman" w:cs="Times New Roman"/>
          <w:strike/>
          <w:sz w:val="24"/>
          <w:szCs w:val="24"/>
        </w:rPr>
        <w:t>ríodo os Laboratórios Oficiais</w:t>
      </w:r>
      <w:r w:rsidRPr="0063678B">
        <w:rPr>
          <w:rFonts w:ascii="Times New Roman" w:hAnsi="Times New Roman" w:cs="Times New Roman"/>
          <w:strike/>
          <w:sz w:val="24"/>
          <w:szCs w:val="24"/>
        </w:rPr>
        <w:t xml:space="preserve">, deverão apresentar justificativa da sua não comercialização”. (NR) </w:t>
      </w:r>
      <w:r w:rsidR="004C3528" w:rsidRPr="0063678B">
        <w:rPr>
          <w:rFonts w:ascii="Times New Roman" w:hAnsi="Times New Roman" w:cs="Times New Roman"/>
          <w:b/>
          <w:color w:val="0000FF"/>
          <w:sz w:val="24"/>
          <w:szCs w:val="24"/>
        </w:rPr>
        <w:t>(Revogado pela Resolução – RDC nº 60 de 10 de outubro de 2014)</w:t>
      </w:r>
      <w:r w:rsidR="000C509B" w:rsidRPr="000C509B">
        <w:rPr>
          <w:rFonts w:ascii="Times New Roman" w:hAnsi="Times New Roman" w:cs="Times New Roman"/>
          <w:b/>
          <w:color w:val="0000FF"/>
          <w:sz w:val="24"/>
          <w:szCs w:val="24"/>
        </w:rPr>
        <w:t xml:space="preserve"> </w:t>
      </w:r>
    </w:p>
    <w:p w:rsidR="00217B03" w:rsidRPr="0063678B" w:rsidRDefault="00217B03" w:rsidP="0063678B">
      <w:pPr>
        <w:spacing w:before="300" w:after="300" w:line="240" w:lineRule="auto"/>
        <w:ind w:firstLine="573"/>
        <w:jc w:val="both"/>
        <w:rPr>
          <w:rFonts w:ascii="Times New Roman" w:hAnsi="Times New Roman" w:cs="Times New Roman"/>
          <w:sz w:val="24"/>
          <w:szCs w:val="24"/>
        </w:rPr>
      </w:pPr>
      <w:r w:rsidRPr="0063678B">
        <w:rPr>
          <w:rFonts w:ascii="Times New Roman" w:hAnsi="Times New Roman" w:cs="Times New Roman"/>
          <w:sz w:val="24"/>
          <w:szCs w:val="24"/>
        </w:rPr>
        <w:t xml:space="preserve">Art. 5º Esta Resolução de Diretoria Colegiada entra em vigor na data de sua publicação. </w:t>
      </w:r>
    </w:p>
    <w:p w:rsidR="0063678B" w:rsidRDefault="0063678B" w:rsidP="0063678B">
      <w:pPr>
        <w:spacing w:before="300" w:after="300" w:line="240" w:lineRule="auto"/>
        <w:ind w:firstLine="573"/>
        <w:jc w:val="center"/>
        <w:rPr>
          <w:rFonts w:ascii="Times New Roman" w:hAnsi="Times New Roman" w:cs="Times New Roman"/>
          <w:sz w:val="24"/>
          <w:szCs w:val="24"/>
        </w:rPr>
      </w:pPr>
    </w:p>
    <w:p w:rsidR="00217B03" w:rsidRPr="0063678B" w:rsidRDefault="00217B03" w:rsidP="0063678B">
      <w:pPr>
        <w:spacing w:before="300" w:after="300" w:line="240" w:lineRule="auto"/>
        <w:ind w:firstLine="573"/>
        <w:jc w:val="center"/>
        <w:rPr>
          <w:rFonts w:ascii="Times New Roman" w:hAnsi="Times New Roman" w:cs="Times New Roman"/>
          <w:sz w:val="24"/>
          <w:szCs w:val="24"/>
        </w:rPr>
      </w:pPr>
      <w:r w:rsidRPr="0063678B">
        <w:rPr>
          <w:rFonts w:ascii="Times New Roman" w:hAnsi="Times New Roman" w:cs="Times New Roman"/>
          <w:sz w:val="24"/>
          <w:szCs w:val="24"/>
        </w:rPr>
        <w:t>CLÁUDIO MAIEROVITCH PESSANHA HENRIQUES</w:t>
      </w:r>
    </w:p>
    <w:p w:rsidR="0063678B" w:rsidRDefault="0063678B" w:rsidP="0063678B">
      <w:pPr>
        <w:spacing w:before="300" w:after="300" w:line="240" w:lineRule="auto"/>
        <w:jc w:val="center"/>
        <w:rPr>
          <w:rFonts w:ascii="Times New Roman" w:hAnsi="Times New Roman" w:cs="Times New Roman"/>
          <w:szCs w:val="24"/>
        </w:rPr>
      </w:pPr>
    </w:p>
    <w:p w:rsidR="00D51F6B" w:rsidRPr="0063678B" w:rsidRDefault="00217B03" w:rsidP="0063678B">
      <w:pPr>
        <w:spacing w:before="300" w:after="300" w:line="240" w:lineRule="auto"/>
        <w:jc w:val="center"/>
        <w:rPr>
          <w:rFonts w:ascii="Times New Roman" w:hAnsi="Times New Roman" w:cs="Times New Roman"/>
          <w:b/>
          <w:color w:val="0000FF"/>
          <w:sz w:val="24"/>
          <w:szCs w:val="24"/>
        </w:rPr>
      </w:pPr>
      <w:r w:rsidRPr="0063678B">
        <w:rPr>
          <w:rFonts w:ascii="Times New Roman" w:hAnsi="Times New Roman" w:cs="Times New Roman"/>
          <w:szCs w:val="24"/>
        </w:rPr>
        <w:t>(*) Republicada por ter saído, no DOU nº 171, de 3-9-2004, Seção 1, pág. 50, com incorreção no original.</w:t>
      </w:r>
    </w:p>
    <w:sectPr w:rsidR="00D51F6B" w:rsidRPr="0063678B" w:rsidSect="0063678B">
      <w:headerReference w:type="default" r:id="rId6"/>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53D" w:rsidRDefault="00AA253D" w:rsidP="00AA253D">
      <w:pPr>
        <w:spacing w:after="0" w:line="240" w:lineRule="auto"/>
      </w:pPr>
      <w:r>
        <w:separator/>
      </w:r>
    </w:p>
  </w:endnote>
  <w:endnote w:type="continuationSeparator" w:id="0">
    <w:p w:rsidR="00AA253D" w:rsidRDefault="00AA253D" w:rsidP="00AA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53D" w:rsidRPr="008A0471" w:rsidRDefault="00AA253D" w:rsidP="00AA253D">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AA253D" w:rsidRDefault="00AA25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53D" w:rsidRDefault="00AA253D" w:rsidP="00AA253D">
      <w:pPr>
        <w:spacing w:after="0" w:line="240" w:lineRule="auto"/>
      </w:pPr>
      <w:r>
        <w:separator/>
      </w:r>
    </w:p>
  </w:footnote>
  <w:footnote w:type="continuationSeparator" w:id="0">
    <w:p w:rsidR="00AA253D" w:rsidRDefault="00AA253D" w:rsidP="00AA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53D" w:rsidRPr="00B517AC" w:rsidRDefault="00AA253D" w:rsidP="00AA253D">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C21116C" wp14:editId="1BA65698">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A253D" w:rsidRPr="00B517AC" w:rsidRDefault="00AA253D" w:rsidP="00AA253D">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AA253D" w:rsidRPr="00B517AC" w:rsidRDefault="00AA253D" w:rsidP="00AA253D">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AA253D" w:rsidRDefault="00AA253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96B"/>
    <w:rsid w:val="00077913"/>
    <w:rsid w:val="000C509B"/>
    <w:rsid w:val="00112CB7"/>
    <w:rsid w:val="001924D2"/>
    <w:rsid w:val="001E708B"/>
    <w:rsid w:val="00217B03"/>
    <w:rsid w:val="002D69FE"/>
    <w:rsid w:val="004250ED"/>
    <w:rsid w:val="004C3528"/>
    <w:rsid w:val="004E6D05"/>
    <w:rsid w:val="00522909"/>
    <w:rsid w:val="00546AE3"/>
    <w:rsid w:val="0059245F"/>
    <w:rsid w:val="0063678B"/>
    <w:rsid w:val="00641534"/>
    <w:rsid w:val="00735C96"/>
    <w:rsid w:val="007441BF"/>
    <w:rsid w:val="00786686"/>
    <w:rsid w:val="007A5A5E"/>
    <w:rsid w:val="008225BB"/>
    <w:rsid w:val="009A5EA4"/>
    <w:rsid w:val="00A51466"/>
    <w:rsid w:val="00AA253D"/>
    <w:rsid w:val="00B30817"/>
    <w:rsid w:val="00C9613C"/>
    <w:rsid w:val="00CE296B"/>
    <w:rsid w:val="00D12AE7"/>
    <w:rsid w:val="00D51F6B"/>
    <w:rsid w:val="00D621E1"/>
    <w:rsid w:val="00E669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77BA1F"/>
  <w15:docId w15:val="{E0BB3CFC-5A18-4C08-A3AB-F41A9845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546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9245F"/>
    <w:pPr>
      <w:ind w:left="720"/>
      <w:contextualSpacing/>
    </w:pPr>
  </w:style>
  <w:style w:type="paragraph" w:styleId="Cabealho">
    <w:name w:val="header"/>
    <w:basedOn w:val="Normal"/>
    <w:link w:val="CabealhoChar"/>
    <w:uiPriority w:val="99"/>
    <w:unhideWhenUsed/>
    <w:rsid w:val="00AA253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253D"/>
  </w:style>
  <w:style w:type="paragraph" w:styleId="Rodap">
    <w:name w:val="footer"/>
    <w:basedOn w:val="Normal"/>
    <w:link w:val="RodapChar"/>
    <w:uiPriority w:val="99"/>
    <w:unhideWhenUsed/>
    <w:rsid w:val="00AA253D"/>
    <w:pPr>
      <w:tabs>
        <w:tab w:val="center" w:pos="4252"/>
        <w:tab w:val="right" w:pos="8504"/>
      </w:tabs>
      <w:spacing w:after="0" w:line="240" w:lineRule="auto"/>
    </w:pPr>
  </w:style>
  <w:style w:type="character" w:customStyle="1" w:styleId="RodapChar">
    <w:name w:val="Rodapé Char"/>
    <w:basedOn w:val="Fontepargpadro"/>
    <w:link w:val="Rodap"/>
    <w:uiPriority w:val="99"/>
    <w:rsid w:val="00AA253D"/>
  </w:style>
  <w:style w:type="paragraph" w:styleId="Textodebalo">
    <w:name w:val="Balloon Text"/>
    <w:basedOn w:val="Normal"/>
    <w:link w:val="TextodebaloChar"/>
    <w:uiPriority w:val="99"/>
    <w:semiHidden/>
    <w:unhideWhenUsed/>
    <w:rsid w:val="00AA253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A25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417305-8ABA-4DE8-9E4B-6EB6891AAECE}"/>
</file>

<file path=customXml/itemProps2.xml><?xml version="1.0" encoding="utf-8"?>
<ds:datastoreItem xmlns:ds="http://schemas.openxmlformats.org/officeDocument/2006/customXml" ds:itemID="{26AF62E6-FC0F-4113-A358-49D58B17E8EB}"/>
</file>

<file path=customXml/itemProps3.xml><?xml version="1.0" encoding="utf-8"?>
<ds:datastoreItem xmlns:ds="http://schemas.openxmlformats.org/officeDocument/2006/customXml" ds:itemID="{828DAC7E-5E59-4D97-93C4-89E7D71923DC}"/>
</file>

<file path=docProps/app.xml><?xml version="1.0" encoding="utf-8"?>
<Properties xmlns="http://schemas.openxmlformats.org/officeDocument/2006/extended-properties" xmlns:vt="http://schemas.openxmlformats.org/officeDocument/2006/docPropsVTypes">
  <Template>Normal</Template>
  <TotalTime>53</TotalTime>
  <Pages>4</Pages>
  <Words>1436</Words>
  <Characters>7757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 Pereira</cp:lastModifiedBy>
  <cp:revision>8</cp:revision>
  <cp:lastPrinted>2017-01-17T18:03:00Z</cp:lastPrinted>
  <dcterms:created xsi:type="dcterms:W3CDTF">2017-01-17T11:43:00Z</dcterms:created>
  <dcterms:modified xsi:type="dcterms:W3CDTF">2018-01-29T17:18:00Z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