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71" w:rsidRDefault="00F87171">
      <w:pPr>
        <w:spacing w:before="0" w:beforeAutospacing="0" w:after="0" w:afterAutospacing="0"/>
        <w:jc w:val="center"/>
        <w:divId w:val="1241408133"/>
        <w:rPr>
          <w:rStyle w:val="legendab1"/>
          <w:b/>
          <w:bCs/>
        </w:rPr>
      </w:pPr>
      <w:bookmarkStart w:id="0" w:name="_GoBack"/>
      <w:bookmarkEnd w:id="0"/>
    </w:p>
    <w:p w:rsidR="00F87171" w:rsidRPr="00891A1E" w:rsidRDefault="00F87171" w:rsidP="00F87171">
      <w:pPr>
        <w:pStyle w:val="Ttulo1"/>
        <w:divId w:val="1241408133"/>
      </w:pPr>
      <w:bookmarkStart w:id="1" w:name="_Hlk524687861"/>
      <w:r w:rsidRPr="00891A1E">
        <w:t>Resolução da Diretoria Colegiada - RDC nº 219, de 22 de dezembro de 2006.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891A1E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18 de dezembro de 2006, e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considerando a necessidade de constante aperfeiçoamento das ações de controle sanitário na área de alimentos, visando a proteção à saúde da população;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considerando a necessidade de atualização da legislação sanitária de alimentos, com base no enfoque da avaliação de risco e da prevenção do dano à saúde da população;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considerando que os regulamentos técnicos da ANVISA de padrões de identidade e qualidade de alimentos devem priorizar os parâmetros sanitários;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considerando que o foco da ação de vigilância sanitária é a inspeção do processo de produção visando a qualidade do produto final;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considerando a necessidade de inclusão de espécies vegetais e parte(s) de espécies vegetais para o preparo de chás;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Art. 1º Aprovar a inclusão do uso das espécies vegetais e parte(s) de espécies vegetais para o preparo de chás constante da Tabela 1 do Anexo desta Resolução em complementação as espécies aprovadas pela Resolução ANVISA RDC nº. 267, de 22 de setembro de 2005;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Art. 2º Retificar o nome comum ou nome científico de algumas das espécies vegetais para o preparo de chás previstas na Resolução-RDC nº 267, de 2005, que passam a vigorar com a redação constante da Tabela 2 do Anexo desta Resolução;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Art. 3º As empresas têm o prazo de 180 (cento e oitenta) dias a contar da data da publicação deste Regulamento para adequarem seus produtos;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Art. 4º O descumprimento aos termos desta Resolução constitui infração sanitária sujeitando os infratores às penalidades previstas na Lei nº. 6.437, de 20 de agosto de 1977 e demais disposições aplicáveis;</w:t>
      </w:r>
    </w:p>
    <w:p w:rsidR="00F87171" w:rsidRPr="00891A1E" w:rsidRDefault="00F87171" w:rsidP="00F87171">
      <w:pPr>
        <w:autoSpaceDE w:val="0"/>
        <w:autoSpaceDN w:val="0"/>
        <w:adjustRightInd w:val="0"/>
        <w:ind w:firstLine="567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Art. 5º Esta Resolução entra em vigor na data de sua publicação, mantidos os dispositivos não alterados da Resolução-RDC nº 267, de 2005.</w:t>
      </w:r>
    </w:p>
    <w:p w:rsidR="00F87171" w:rsidRPr="00891A1E" w:rsidRDefault="00F87171" w:rsidP="00F87171">
      <w:pPr>
        <w:pStyle w:val="Ttulo2"/>
        <w:divId w:val="1241408133"/>
      </w:pPr>
      <w:r w:rsidRPr="00891A1E">
        <w:t>DIRCEU RAPOSO DE MELLO</w:t>
      </w:r>
    </w:p>
    <w:p w:rsidR="00F87171" w:rsidRPr="00891A1E" w:rsidRDefault="00F87171" w:rsidP="00F87171">
      <w:pPr>
        <w:autoSpaceDE w:val="0"/>
        <w:autoSpaceDN w:val="0"/>
        <w:adjustRightInd w:val="0"/>
        <w:jc w:val="center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ANEXO</w:t>
      </w:r>
    </w:p>
    <w:p w:rsidR="00F87171" w:rsidRPr="00891A1E" w:rsidRDefault="00F87171" w:rsidP="00F87171">
      <w:pPr>
        <w:autoSpaceDE w:val="0"/>
        <w:autoSpaceDN w:val="0"/>
        <w:adjustRightInd w:val="0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1. ALCANCE</w:t>
      </w:r>
    </w:p>
    <w:p w:rsidR="00F87171" w:rsidRPr="00891A1E" w:rsidRDefault="00F87171" w:rsidP="00F87171">
      <w:pPr>
        <w:autoSpaceDE w:val="0"/>
        <w:autoSpaceDN w:val="0"/>
        <w:adjustRightInd w:val="0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lastRenderedPageBreak/>
        <w:t>Incluir espécies vegetais e partes de espécies vegetais para o preparo de chás (Tabela 1) e corrigir o nome comum ou científico de algumas espécies vegetais previstas na Resolução RDC nº. 267, de 22 de setembro de 2005 (Tabela 2).</w:t>
      </w:r>
    </w:p>
    <w:p w:rsidR="00F87171" w:rsidRPr="00891A1E" w:rsidRDefault="00F87171" w:rsidP="00F87171">
      <w:pPr>
        <w:autoSpaceDE w:val="0"/>
        <w:autoSpaceDN w:val="0"/>
        <w:adjustRightInd w:val="0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 xml:space="preserve">Tabela 1 – Inclusão de Espécies Vegetais e Partes de Espécies Vegetais para o Preparo de Chás </w:t>
      </w:r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9"/>
        <w:gridCol w:w="2885"/>
      </w:tblGrid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NOME COMUM / NOME CIENTÍFICO 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Parte do vegetal utilizada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Abacaxi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Bromelia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ananas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infrutescência (casca e polpa dos frutos) 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91A1E">
              <w:rPr>
                <w:rFonts w:ascii="Arial" w:hAnsi="Arial" w:cs="Arial"/>
                <w:sz w:val="20"/>
                <w:szCs w:val="20"/>
                <w:lang w:val="en-US"/>
              </w:rPr>
              <w:t xml:space="preserve">Ananás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Ananas</w:t>
            </w:r>
            <w:r w:rsidRPr="00891A1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sativus</w:t>
            </w:r>
            <w:r w:rsidRPr="00891A1E">
              <w:rPr>
                <w:rFonts w:ascii="Arial" w:hAnsi="Arial" w:cs="Arial"/>
                <w:sz w:val="20"/>
                <w:szCs w:val="20"/>
                <w:lang w:val="en-US"/>
              </w:rPr>
              <w:t xml:space="preserve"> Schult. &amp; Schult. F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infrutescência (casca e polpa dos frutos)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Boldo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Pneumus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 xml:space="preserve">boldus </w:t>
            </w:r>
            <w:r w:rsidRPr="00891A1E">
              <w:rPr>
                <w:rFonts w:ascii="Arial" w:hAnsi="Arial" w:cs="Arial"/>
                <w:sz w:val="20"/>
                <w:szCs w:val="20"/>
              </w:rPr>
              <w:t>Molina (1)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Carqueja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Baccharis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genistelloides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(Lamarck)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</w:rPr>
              <w:t>Persoon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Chicória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Cichorium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intybus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 (2)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 e raízes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Estévia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Stevia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rebaundiana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Bert (2)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Rosa silvestre ou mosqueta/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Rosa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canina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frutos e flores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Tangerina, bergamota, mexerica, laranja-cravo e mandarina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Citrus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reticulata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Blanco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casca e frutos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19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Tamarindo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Tamarindus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indica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85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polpa dos frutos</w:t>
            </w:r>
          </w:p>
        </w:tc>
      </w:tr>
    </w:tbl>
    <w:p w:rsidR="00F87171" w:rsidRPr="00891A1E" w:rsidRDefault="00F87171" w:rsidP="00F87171">
      <w:pPr>
        <w:pStyle w:val="Corpodetexto"/>
        <w:spacing w:after="100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(1) No rótulo do produto contendo essa espécie devem constar as seguintes informações em destaque e negrito:</w:t>
      </w:r>
    </w:p>
    <w:p w:rsidR="00F87171" w:rsidRPr="00891A1E" w:rsidRDefault="00F87171" w:rsidP="00F87171">
      <w:pPr>
        <w:autoSpaceDE w:val="0"/>
        <w:autoSpaceDN w:val="0"/>
        <w:adjustRightInd w:val="0"/>
        <w:ind w:right="-162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 xml:space="preserve">“Portadores de enfermidades hepáticas ou renais devem consultar o médico antes de consumir o produto” e </w:t>
      </w:r>
    </w:p>
    <w:p w:rsidR="00F87171" w:rsidRPr="00891A1E" w:rsidRDefault="00F87171" w:rsidP="00F87171">
      <w:pPr>
        <w:autoSpaceDE w:val="0"/>
        <w:autoSpaceDN w:val="0"/>
        <w:adjustRightInd w:val="0"/>
        <w:ind w:right="-162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“Não consumir de forma contínua por mais de quatro semanas”.</w:t>
      </w:r>
    </w:p>
    <w:p w:rsidR="00F87171" w:rsidRPr="00891A1E" w:rsidRDefault="00F87171" w:rsidP="00F87171">
      <w:pPr>
        <w:autoSpaceDE w:val="0"/>
        <w:autoSpaceDN w:val="0"/>
        <w:adjustRightInd w:val="0"/>
        <w:ind w:right="-162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(2) Essas espécies devem ser usadas de forma complementar às demais espécies vegetais previstas em Regulamento Técnico específico.</w:t>
      </w:r>
    </w:p>
    <w:p w:rsidR="00F87171" w:rsidRPr="00891A1E" w:rsidRDefault="00F87171" w:rsidP="00F87171">
      <w:pPr>
        <w:autoSpaceDE w:val="0"/>
        <w:autoSpaceDN w:val="0"/>
        <w:adjustRightInd w:val="0"/>
        <w:jc w:val="both"/>
        <w:divId w:val="1241408133"/>
        <w:rPr>
          <w:rFonts w:ascii="Arial" w:hAnsi="Arial" w:cs="Arial"/>
          <w:sz w:val="20"/>
          <w:szCs w:val="20"/>
        </w:rPr>
      </w:pPr>
      <w:r w:rsidRPr="00891A1E">
        <w:rPr>
          <w:rFonts w:ascii="Arial" w:hAnsi="Arial" w:cs="Arial"/>
          <w:sz w:val="20"/>
          <w:szCs w:val="20"/>
        </w:rPr>
        <w:t>Tabela 2 – Retificação do Nome Comum ou Nome Científico de Algumas Espécies Vegetais Previstas na Resolução-RDC nº. 267, de 22 de setembro de 2005.</w:t>
      </w:r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2833"/>
      </w:tblGrid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NOME COMUM / NOME CIENTÍFICO 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Parte do vegetal utilizada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Camomila ou Mazanilha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Matricaria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recutita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 e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Chamomilla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recutita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(L.) Rauscher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capítulos florais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Damasco ou Apricot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Prunus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armeciaca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frutos (sem sementes)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Hortelã ou Hortelã Pimenta ou Menta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Mentha piperita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 e ramos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Hortelã ou Menta ou Hortelã doce ou Menta doce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Mentha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arvensis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folhas e ramos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Pêra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Pyrus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communis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L.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frutos</w:t>
            </w:r>
          </w:p>
        </w:tc>
      </w:tr>
      <w:tr w:rsidR="00F87171" w:rsidRPr="00891A1E" w:rsidTr="00F87171">
        <w:tblPrEx>
          <w:tblCellMar>
            <w:top w:w="0" w:type="dxa"/>
            <w:bottom w:w="0" w:type="dxa"/>
          </w:tblCellMar>
        </w:tblPrEx>
        <w:trPr>
          <w:divId w:val="1241408133"/>
        </w:trPr>
        <w:tc>
          <w:tcPr>
            <w:tcW w:w="3971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 xml:space="preserve">Morango / </w:t>
            </w:r>
            <w:r w:rsidRPr="00891A1E">
              <w:rPr>
                <w:rFonts w:ascii="Arial" w:hAnsi="Arial" w:cs="Arial"/>
                <w:sz w:val="20"/>
                <w:szCs w:val="20"/>
                <w:u w:val="single"/>
              </w:rPr>
              <w:t>Fragaria</w:t>
            </w:r>
            <w:r w:rsidRPr="00891A1E">
              <w:rPr>
                <w:rFonts w:ascii="Arial" w:hAnsi="Arial" w:cs="Arial"/>
                <w:sz w:val="20"/>
                <w:szCs w:val="20"/>
              </w:rPr>
              <w:t xml:space="preserve"> spp.</w:t>
            </w:r>
          </w:p>
        </w:tc>
        <w:tc>
          <w:tcPr>
            <w:tcW w:w="2833" w:type="dxa"/>
            <w:vAlign w:val="center"/>
          </w:tcPr>
          <w:p w:rsidR="00F87171" w:rsidRPr="00891A1E" w:rsidRDefault="00F87171" w:rsidP="00F87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91A1E">
              <w:rPr>
                <w:rFonts w:ascii="Arial" w:hAnsi="Arial" w:cs="Arial"/>
                <w:sz w:val="20"/>
                <w:szCs w:val="20"/>
              </w:rPr>
              <w:t>frutos</w:t>
            </w:r>
          </w:p>
        </w:tc>
      </w:tr>
    </w:tbl>
    <w:bookmarkEnd w:id="1"/>
    <w:p w:rsidR="00A53197" w:rsidRDefault="00F84CC5" w:rsidP="00F84CC5">
      <w:pPr>
        <w:tabs>
          <w:tab w:val="left" w:pos="3210"/>
        </w:tabs>
        <w:spacing w:before="750" w:beforeAutospacing="0" w:after="300" w:afterAutospacing="0"/>
        <w:divId w:val="1241408137"/>
        <w:rPr>
          <w:rFonts w:ascii="Verdana" w:hAnsi="Verdana"/>
          <w:b/>
          <w:bCs/>
          <w:color w:val="003366"/>
          <w:sz w:val="17"/>
          <w:szCs w:val="17"/>
        </w:rPr>
      </w:pPr>
      <w:r>
        <w:rPr>
          <w:rFonts w:ascii="Verdana" w:hAnsi="Verdana"/>
          <w:b/>
          <w:bCs/>
          <w:color w:val="003366"/>
          <w:sz w:val="17"/>
          <w:szCs w:val="17"/>
        </w:rPr>
        <w:tab/>
      </w:r>
    </w:p>
    <w:sectPr w:rsidR="00A53197" w:rsidSect="00F84CC5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1DA" w:rsidRDefault="008401DA" w:rsidP="00F84CC5">
      <w:pPr>
        <w:spacing w:before="0" w:after="0"/>
      </w:pPr>
      <w:r>
        <w:separator/>
      </w:r>
    </w:p>
  </w:endnote>
  <w:endnote w:type="continuationSeparator" w:id="0">
    <w:p w:rsidR="008401DA" w:rsidRDefault="008401DA" w:rsidP="00F84C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1DA" w:rsidRDefault="008401DA" w:rsidP="00F84CC5">
      <w:pPr>
        <w:spacing w:before="0" w:after="0"/>
      </w:pPr>
      <w:r>
        <w:separator/>
      </w:r>
    </w:p>
  </w:footnote>
  <w:footnote w:type="continuationSeparator" w:id="0">
    <w:p w:rsidR="008401DA" w:rsidRDefault="008401DA" w:rsidP="00F84C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C5" w:rsidRPr="00F84CC5" w:rsidRDefault="008401DA" w:rsidP="00F84C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8401DA">
      <w:rPr>
        <w:rFonts w:ascii="Calibri" w:hAnsi="Calibri"/>
        <w:noProof/>
        <w:sz w:val="22"/>
        <w:szCs w:val="22"/>
      </w:rPr>
      <w:drawing>
        <wp:inline distT="0" distB="0" distL="0" distR="0">
          <wp:extent cx="660400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4CC5" w:rsidRPr="00F84CC5" w:rsidRDefault="00F84CC5" w:rsidP="00F84C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84CC5">
      <w:rPr>
        <w:rFonts w:ascii="Calibri" w:hAnsi="Calibri"/>
        <w:b/>
        <w:szCs w:val="22"/>
        <w:lang w:eastAsia="en-US"/>
      </w:rPr>
      <w:t>Ministério da Saúde - MS</w:t>
    </w:r>
  </w:p>
  <w:p w:rsidR="00F84CC5" w:rsidRPr="00F84CC5" w:rsidRDefault="00F84CC5" w:rsidP="00F84CC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F84CC5">
      <w:rPr>
        <w:rFonts w:ascii="Calibri" w:hAnsi="Calibri"/>
        <w:b/>
        <w:szCs w:val="22"/>
        <w:lang w:eastAsia="en-US"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524060"/>
    <w:rsid w:val="005D13BD"/>
    <w:rsid w:val="00605855"/>
    <w:rsid w:val="00652E8A"/>
    <w:rsid w:val="00771958"/>
    <w:rsid w:val="007B6AE7"/>
    <w:rsid w:val="008401DA"/>
    <w:rsid w:val="00891A1E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84CC5"/>
    <w:rsid w:val="00F8717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8717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F87171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84CC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84CC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84CC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84CC5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0813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13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4140813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3658</Characters>
  <Application>Microsoft Office Word</Application>
  <DocSecurity>0</DocSecurity>
  <Lines>30</Lines>
  <Paragraphs>8</Paragraphs>
  <ScaleCrop>false</ScaleCrop>
  <Company>ANVISA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2012-05-16T13:46:00Z</cp:lastPrinted>
  <dcterms:created xsi:type="dcterms:W3CDTF">2019-02-04T14:02:00Z</dcterms:created>
  <dcterms:modified xsi:type="dcterms:W3CDTF">2019-02-04T14:02:00Z</dcterms:modified>
</cp:coreProperties>
</file>