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34" w:rsidRDefault="00F80934" w:rsidP="002A0C2A">
      <w:pPr>
        <w:pStyle w:val="Ttulo1"/>
        <w:divId w:val="1651785160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2A0C2A">
        <w:rPr>
          <w:rFonts w:ascii="Times New Roman" w:hAnsi="Times New Roman" w:cs="Times New Roman"/>
          <w:sz w:val="22"/>
          <w:szCs w:val="24"/>
        </w:rPr>
        <w:t xml:space="preserve">RESOLUÇÃO DA DIRETORIA COLEGIADA – RDC </w:t>
      </w:r>
      <w:r w:rsidR="002A0C2A" w:rsidRPr="002A0C2A">
        <w:rPr>
          <w:rFonts w:ascii="Times New Roman" w:hAnsi="Times New Roman" w:cs="Times New Roman"/>
          <w:sz w:val="22"/>
          <w:szCs w:val="24"/>
        </w:rPr>
        <w:t xml:space="preserve">Nº 21, DE 25 DE </w:t>
      </w:r>
      <w:r w:rsidRPr="002A0C2A">
        <w:rPr>
          <w:rFonts w:ascii="Times New Roman" w:hAnsi="Times New Roman" w:cs="Times New Roman"/>
          <w:sz w:val="22"/>
          <w:szCs w:val="24"/>
        </w:rPr>
        <w:t>ABRIL DE 2014</w:t>
      </w:r>
    </w:p>
    <w:p w:rsidR="002A0C2A" w:rsidRPr="002A0C2A" w:rsidRDefault="002A0C2A" w:rsidP="002A0C2A">
      <w:pPr>
        <w:jc w:val="center"/>
        <w:divId w:val="1651785160"/>
        <w:rPr>
          <w:b/>
          <w:color w:val="0000FF"/>
        </w:rPr>
      </w:pPr>
      <w:r w:rsidRPr="002A0C2A">
        <w:rPr>
          <w:b/>
          <w:color w:val="0000FF"/>
        </w:rPr>
        <w:t>(Publicada no DOU nº 79, de 28 de abril de 2014)</w:t>
      </w:r>
    </w:p>
    <w:p w:rsidR="00F80934" w:rsidRDefault="00F80934" w:rsidP="00F80934">
      <w:pPr>
        <w:ind w:left="3969"/>
        <w:jc w:val="both"/>
        <w:divId w:val="1651785160"/>
      </w:pPr>
      <w:r w:rsidRPr="002A0C2A">
        <w:t>Dispõe sobre a fabricação e comercialização de produtos da Medicina Tradicional Chinesa (MTC)</w:t>
      </w:r>
    </w:p>
    <w:p w:rsidR="00F80934" w:rsidRPr="002A0C2A" w:rsidRDefault="00F80934" w:rsidP="00F80934">
      <w:pPr>
        <w:ind w:firstLine="567"/>
        <w:jc w:val="both"/>
        <w:divId w:val="1651785160"/>
        <w:rPr>
          <w:color w:val="000000"/>
        </w:rPr>
      </w:pPr>
      <w:r w:rsidRPr="002A0C2A">
        <w:rPr>
          <w:b/>
          <w:color w:val="000000"/>
        </w:rPr>
        <w:t xml:space="preserve">A </w:t>
      </w:r>
      <w:r w:rsidRPr="002A0C2A">
        <w:rPr>
          <w:b/>
          <w:bCs/>
          <w:color w:val="000000"/>
        </w:rPr>
        <w:t>Diretoria Colegiada da Agência Nacional de Vigilância Sanitária</w:t>
      </w:r>
      <w:r w:rsidRPr="002A0C2A">
        <w:rPr>
          <w:color w:val="000000"/>
        </w:rPr>
        <w:t>, no uso das atribuições que lhe conferem os incisos III e IV, do art. 15 da Lei n.º 9.782, de 26 de janeiro de 1999, o inciso 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 e o Programa de Melhoria do Processo de Regulamentação da Agência, instituído por meio da Portaria nº 422, de 16 de abril de 2008</w:t>
      </w:r>
      <w:r w:rsidRPr="002A0C2A">
        <w:rPr>
          <w:bCs/>
          <w:color w:val="000000"/>
        </w:rPr>
        <w:t xml:space="preserve">, em reunião realizada em 22 de abril de 2014, </w:t>
      </w:r>
      <w:r w:rsidRPr="002A0C2A">
        <w:rPr>
          <w:color w:val="000000"/>
        </w:rPr>
        <w:t>adota a seguinte Resolução da Diretoria Colegiada e eu, Diretor-Presidente, determino a sua publicação:</w:t>
      </w:r>
    </w:p>
    <w:p w:rsidR="00F80934" w:rsidRPr="002A0C2A" w:rsidRDefault="00F80934" w:rsidP="00F80934">
      <w:pPr>
        <w:ind w:firstLine="567"/>
        <w:jc w:val="both"/>
        <w:divId w:val="1651785160"/>
        <w:rPr>
          <w:b/>
          <w:color w:val="0000FF"/>
        </w:rPr>
      </w:pPr>
      <w:r w:rsidRPr="002A0C2A">
        <w:t>Art. 1º Fica instituído, pelo período de três anos a contar da data de publicação dessa norma, o acompanhamento da utilização de produtos da Medicina Tradicional Chinesa (MTC) no país.</w:t>
      </w:r>
      <w:r w:rsidR="002A0C2A">
        <w:t xml:space="preserve"> </w:t>
      </w:r>
      <w:r w:rsidR="002A0C2A" w:rsidRPr="002A0C2A">
        <w:rPr>
          <w:b/>
          <w:color w:val="0000FF"/>
        </w:rPr>
        <w:t>(Prazo de vigência da norma prorrogado por dois anos pela Resolução-RDC nº 152, de 26 de abril de 2017)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2º Para fins dessa norma, são considerados produtos da Medicina Tradicional Chinesa as formulações obtidas a partir de matérias-primas de origem vegetal, mineral e cogumelos (fungos macroscópicos)</w:t>
      </w:r>
      <w:r w:rsidRPr="002A0C2A">
        <w:rPr>
          <w:b/>
        </w:rPr>
        <w:t xml:space="preserve"> </w:t>
      </w:r>
      <w:r w:rsidRPr="002A0C2A">
        <w:t>de acordo com as técnicas da MTC e integrantes da Farmacopeia Chinesa.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Parágrafo único. É proibida a utilização de matérias-primas de origem animal nas formulações a serem comercializadas no País;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3º Os produtos da MTC não são objeto de registro sanitário.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4º A comercialização de produtos ditos como pertencentes à MTC, com composição diferente das descritas em referências de MTC na Farmacopeia Chinesa e/ou com a utilização de matérias-primas de origem animal, constitui infração sanitária.</w:t>
      </w:r>
    </w:p>
    <w:p w:rsidR="00F80934" w:rsidRPr="002A0C2A" w:rsidRDefault="00F80934" w:rsidP="00F80934">
      <w:pPr>
        <w:autoSpaceDE w:val="0"/>
        <w:autoSpaceDN w:val="0"/>
        <w:adjustRightInd w:val="0"/>
        <w:ind w:firstLine="567"/>
        <w:jc w:val="both"/>
        <w:divId w:val="1651785160"/>
      </w:pPr>
      <w:r w:rsidRPr="002A0C2A">
        <w:t>Art. 5º A fabricação de produtos da MTC pode ser feita apenas de modo industrializado e seguindo requisitos que evitem a contaminação e garantam a qualidade do produto.</w:t>
      </w:r>
    </w:p>
    <w:p w:rsidR="00F80934" w:rsidRPr="002A0C2A" w:rsidRDefault="00F80934" w:rsidP="00F80934">
      <w:pPr>
        <w:autoSpaceDE w:val="0"/>
        <w:autoSpaceDN w:val="0"/>
        <w:adjustRightInd w:val="0"/>
        <w:ind w:firstLine="567"/>
        <w:jc w:val="both"/>
        <w:divId w:val="1651785160"/>
      </w:pPr>
      <w:r w:rsidRPr="002A0C2A">
        <w:t>Parágrafo único. T</w:t>
      </w:r>
      <w:r w:rsidRPr="002A0C2A">
        <w:rPr>
          <w:rFonts w:eastAsia="TimesNewRoman"/>
          <w:lang w:eastAsia="en-US"/>
        </w:rPr>
        <w:t>odo pessoal envolvido na fabricação deve ter conhecimento, experiência, qualificação técnica e ser treinado para realização de análises em matérias-primas e produtos acabados, atendendo às suas especificidades.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lastRenderedPageBreak/>
        <w:t>Art. 6º Os produtos passíveis de comércio como MTC são de venda restrita à prescrição por profissional habilitado.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7º A dispensação dos produtos da MTC é restrita aos profissionais habilitados.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8º Os produtos comercializados como MTC não podem alegar em suas embalagens, ou em qualquer material informativo ou publicitário, indicações ou alegações terapêuticas.</w:t>
      </w:r>
    </w:p>
    <w:p w:rsidR="00F80934" w:rsidRPr="002A0C2A" w:rsidRDefault="00F80934" w:rsidP="00F80934">
      <w:pPr>
        <w:autoSpaceDE w:val="0"/>
        <w:autoSpaceDN w:val="0"/>
        <w:adjustRightInd w:val="0"/>
        <w:ind w:firstLine="567"/>
        <w:jc w:val="both"/>
        <w:divId w:val="1651785160"/>
      </w:pPr>
      <w:r w:rsidRPr="002A0C2A">
        <w:t>Parágrafo único. A embalagem do produto deve conter a indicação do fabricante e do profissional responsável.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Atr. 9º Os produtos da MTC deverão ter nomes comerciais conforme sua designação tradicional descrita em referências sobre MTC.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 xml:space="preserve">Art. </w:t>
      </w:r>
      <w:smartTag w:uri="urn:schemas-microsoft-com:office:smarttags" w:element="metricconverter">
        <w:smartTagPr>
          <w:attr w:name="ProductID" w:val="10 A"/>
        </w:smartTagPr>
        <w:r w:rsidRPr="002A0C2A">
          <w:t>10 A</w:t>
        </w:r>
      </w:smartTag>
      <w:r w:rsidRPr="002A0C2A">
        <w:t xml:space="preserve"> Anvisa estabelecerá um sistema de monitoramento da segurança, eficácia e de desvios de qualidade dos produtos, disponível em seu sítio eletrônico, por meio do qual os profissionais envolvidos ou os consumidores deverão especificar quaisquer reações adversas aos produtos da MTC.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11 No período estabelecido no Art. 1º dessa norma</w:t>
      </w:r>
      <w:r w:rsidR="002A0C2A">
        <w:t xml:space="preserve"> </w:t>
      </w:r>
      <w:r w:rsidRPr="002A0C2A">
        <w:t>será considerada compulsória a notificação, pelos profissionais habilitados a prescrição, das reações adversas referentes à utilização de produtos da MTC.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 xml:space="preserve">Art. 12 Durante esse período de monitoramento, é obrigatório a todas as empresas estabelecidas no país que adquiram insumos utilizados na produção de produtos da MTC, cadastrarem junto à ANVISA todos os insumos farmacêuticos ativos com os quais trabalham. 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Parágrafo único. Os insumos devem ser cadastrados utilizando-se o sistema de peticionamento eletrônico que será disponibilizado no site www.anvisa.gov.br, no qual estarão dispostas orientações adicionais e definições para o correto preenchimento dos formulários.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13 Devem ser utilizados na alimentação do cadastro, obrigatoriamente, os dados de todos os fabricantes do insumo farmacêutico ativo, e de revendedores ou distribuidores de qualquer tipo, caso o insumo não tenho sido obtido diretamente do fabricante.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§ 1º As informações fornecidas devem ser suficientes para a correta identificação do fabricante e revendedores e não é permitida a utilização de abreviações.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§ 2º As informações fornecidas à ANVISA na ocasião do cadastramento são de inteira responsabilidade das empresas envolvidas.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lastRenderedPageBreak/>
        <w:t>Art. 14 A Anvisa, a qualquer momento, sob evidência detectada, poderá tomar as medidas sanitárias cabíveis.</w:t>
      </w:r>
    </w:p>
    <w:p w:rsidR="00F80934" w:rsidRPr="002A0C2A" w:rsidRDefault="00F80934" w:rsidP="00F80934">
      <w:pPr>
        <w:ind w:firstLine="567"/>
        <w:jc w:val="both"/>
        <w:divId w:val="1651785160"/>
      </w:pPr>
      <w:r w:rsidRPr="002A0C2A">
        <w:t>Art. 15 Essa Resolução da Diretoria Colegiada entra em vigor no dia de sua publicação.</w:t>
      </w:r>
    </w:p>
    <w:p w:rsidR="00F80934" w:rsidRPr="002A0C2A" w:rsidRDefault="00F80934" w:rsidP="00F80934">
      <w:pPr>
        <w:pStyle w:val="Ttulo2"/>
        <w:divId w:val="1651785160"/>
        <w:rPr>
          <w:rFonts w:ascii="Times New Roman" w:hAnsi="Times New Roman" w:cs="Times New Roman"/>
          <w:sz w:val="24"/>
          <w:szCs w:val="24"/>
        </w:rPr>
      </w:pPr>
      <w:r w:rsidRPr="002A0C2A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F80934" w:rsidRPr="002A0C2A" w:rsidSect="002A0C2A">
      <w:headerReference w:type="default" r:id="rId7"/>
      <w:foot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797" w:rsidRDefault="00F57797" w:rsidP="002A0C2A">
      <w:pPr>
        <w:spacing w:before="0" w:after="0"/>
      </w:pPr>
      <w:r>
        <w:separator/>
      </w:r>
    </w:p>
  </w:endnote>
  <w:endnote w:type="continuationSeparator" w:id="0">
    <w:p w:rsidR="00F57797" w:rsidRDefault="00F57797" w:rsidP="002A0C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C2A" w:rsidRPr="002A0C2A" w:rsidRDefault="002A0C2A" w:rsidP="002A0C2A">
    <w:pPr>
      <w:tabs>
        <w:tab w:val="center" w:pos="4252"/>
        <w:tab w:val="right" w:pos="8504"/>
      </w:tabs>
      <w:spacing w:after="0"/>
      <w:jc w:val="center"/>
      <w:rPr>
        <w:rFonts w:ascii="Calibri" w:hAnsi="Calibri"/>
        <w:sz w:val="22"/>
        <w:szCs w:val="22"/>
        <w:lang w:eastAsia="en-US"/>
      </w:rPr>
    </w:pPr>
    <w:r>
      <w:tab/>
    </w:r>
  </w:p>
  <w:p w:rsidR="002A0C2A" w:rsidRPr="002A0C2A" w:rsidRDefault="002A0C2A" w:rsidP="002A0C2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2A0C2A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797" w:rsidRDefault="00F57797" w:rsidP="002A0C2A">
      <w:pPr>
        <w:spacing w:before="0" w:after="0"/>
      </w:pPr>
      <w:r>
        <w:separator/>
      </w:r>
    </w:p>
  </w:footnote>
  <w:footnote w:type="continuationSeparator" w:id="0">
    <w:p w:rsidR="00F57797" w:rsidRDefault="00F57797" w:rsidP="002A0C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C2A" w:rsidRPr="00B517AC" w:rsidRDefault="002A0C2A" w:rsidP="002A0C2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2A0C2A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2A0C2A" w:rsidRPr="00B517AC" w:rsidRDefault="002A0C2A" w:rsidP="002A0C2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2A0C2A" w:rsidRPr="00B517AC" w:rsidRDefault="002A0C2A" w:rsidP="002A0C2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2A0C2A" w:rsidRPr="002A0C2A" w:rsidRDefault="002A0C2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31BD3"/>
    <w:rsid w:val="00034881"/>
    <w:rsid w:val="00074AC0"/>
    <w:rsid w:val="000C2183"/>
    <w:rsid w:val="00101181"/>
    <w:rsid w:val="00230B05"/>
    <w:rsid w:val="00277E16"/>
    <w:rsid w:val="002A0C2A"/>
    <w:rsid w:val="00391360"/>
    <w:rsid w:val="003C4A39"/>
    <w:rsid w:val="004B76AA"/>
    <w:rsid w:val="00652E8A"/>
    <w:rsid w:val="00771958"/>
    <w:rsid w:val="00867B72"/>
    <w:rsid w:val="008B7BC0"/>
    <w:rsid w:val="008D770F"/>
    <w:rsid w:val="00963BF1"/>
    <w:rsid w:val="00A06235"/>
    <w:rsid w:val="00A53197"/>
    <w:rsid w:val="00A533A1"/>
    <w:rsid w:val="00A66480"/>
    <w:rsid w:val="00AA72EF"/>
    <w:rsid w:val="00AF43E7"/>
    <w:rsid w:val="00B13D8C"/>
    <w:rsid w:val="00BA4BE8"/>
    <w:rsid w:val="00BC5F27"/>
    <w:rsid w:val="00BE676D"/>
    <w:rsid w:val="00C05434"/>
    <w:rsid w:val="00C95A0B"/>
    <w:rsid w:val="00D221EC"/>
    <w:rsid w:val="00D74B7B"/>
    <w:rsid w:val="00DF7C19"/>
    <w:rsid w:val="00E13B02"/>
    <w:rsid w:val="00F57797"/>
    <w:rsid w:val="00F80934"/>
    <w:rsid w:val="00FA5497"/>
    <w:rsid w:val="00FD226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A12F6ED7-C801-4C48-AE17-3F4EA3E0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link w:val="Corpodetexto"/>
    <w:uiPriority w:val="99"/>
    <w:locked/>
    <w:rsid w:val="00034881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locked/>
    <w:rsid w:val="00034881"/>
    <w:rPr>
      <w:rFonts w:eastAsia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lang w:val="es-ES_tradnl"/>
    </w:rPr>
  </w:style>
  <w:style w:type="character" w:customStyle="1" w:styleId="CabealhoChar">
    <w:name w:val="Cabeçalho Char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</w:style>
  <w:style w:type="character" w:customStyle="1" w:styleId="RodapChar">
    <w:name w:val="Rodapé Char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b/>
      <w:bCs/>
      <w:color w:val="0000FF"/>
      <w:sz w:val="16"/>
      <w:szCs w:val="16"/>
    </w:rPr>
  </w:style>
  <w:style w:type="character" w:customStyle="1" w:styleId="Corpodetexto2Char">
    <w:name w:val="Corpo de texto 2 Char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lang w:val="es-ES_tradnl"/>
    </w:rPr>
  </w:style>
  <w:style w:type="character" w:customStyle="1" w:styleId="Corpodetexto3Char">
    <w:name w:val="Corpo de texto 3 Char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hAnsi="Arial" w:cs="Arial"/>
      <w:lang w:val="es-ES_tradnl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styleId="Refdenotaderodap">
    <w:name w:val="footnote reference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8516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16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6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651785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6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2018-08-16T18:52:00Z</dcterms:created>
  <dcterms:modified xsi:type="dcterms:W3CDTF">2018-08-16T18:52:00Z</dcterms:modified>
</cp:coreProperties>
</file>