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CD3F66" w:rsidRDefault="0037757C" w:rsidP="00CD3F66">
      <w:pPr>
        <w:pStyle w:val="SemEspaamento"/>
        <w:ind w:right="-141"/>
        <w:rPr>
          <w:rFonts w:ascii="Times New Roman" w:hAnsi="Times New Roman" w:cs="Times New Roman"/>
          <w:b/>
          <w:sz w:val="24"/>
          <w:szCs w:val="24"/>
        </w:rPr>
      </w:pPr>
      <w:r w:rsidRPr="00CD3F66">
        <w:rPr>
          <w:rFonts w:ascii="Times New Roman" w:hAnsi="Times New Roman" w:cs="Times New Roman"/>
          <w:b/>
          <w:szCs w:val="24"/>
        </w:rPr>
        <w:t>RESOLUÇÃO</w:t>
      </w:r>
      <w:r w:rsidR="00CD3F66" w:rsidRPr="00CD3F66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255A0F" w:rsidRPr="00CD3F66">
        <w:rPr>
          <w:rFonts w:ascii="Times New Roman" w:hAnsi="Times New Roman" w:cs="Times New Roman"/>
          <w:b/>
          <w:szCs w:val="24"/>
        </w:rPr>
        <w:t xml:space="preserve"> </w:t>
      </w:r>
      <w:r w:rsidRPr="00CD3F66">
        <w:rPr>
          <w:rFonts w:ascii="Times New Roman" w:hAnsi="Times New Roman" w:cs="Times New Roman"/>
          <w:b/>
          <w:szCs w:val="24"/>
        </w:rPr>
        <w:t>– RDC Nº 248, DE 13 DE SETEMBRO DE 2005</w:t>
      </w:r>
    </w:p>
    <w:p w:rsidR="00CD3F66" w:rsidRDefault="00CD3F66" w:rsidP="0037757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7757C" w:rsidRPr="00CD3F66" w:rsidRDefault="0037757C" w:rsidP="0037757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D3F66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177, de 14 de setembro de 2005)</w:t>
      </w:r>
    </w:p>
    <w:p w:rsidR="00354388" w:rsidRPr="00CD3F66" w:rsidRDefault="00354388" w:rsidP="00354388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 xml:space="preserve">A </w:t>
      </w:r>
      <w:r w:rsidRPr="00CD3F66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CD3F66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ANVISA aprovado pelo Decreto n° 3.029, de 16 de abril de 1999, c/c o art. 111, inciso I, alínea "b", § 1°, do Regimento Interno aprovado pela Portaria n° 593, de 25 de agosto de 2000, republicada no DOU de 22 de dezembro de 2000, em reunião realizada em 29 de agosto de 2005,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F66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D3F66">
        <w:rPr>
          <w:rFonts w:ascii="Times New Roman" w:hAnsi="Times New Roman" w:cs="Times New Roman"/>
          <w:sz w:val="24"/>
          <w:szCs w:val="24"/>
        </w:rPr>
        <w:t xml:space="preserve"> a necessidade de constante aperfeiçoamento das ações de controle sanitário na área de alimentos, visando proteger a saúde da população;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F66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D3F66">
        <w:rPr>
          <w:rFonts w:ascii="Times New Roman" w:hAnsi="Times New Roman" w:cs="Times New Roman"/>
          <w:sz w:val="24"/>
          <w:szCs w:val="24"/>
        </w:rPr>
        <w:t xml:space="preserve"> a necessidade de segurança de uso tecnológico de coadjuvantes de tecnologia na fabricação de alimentos;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F66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D3F66">
        <w:rPr>
          <w:rFonts w:ascii="Times New Roman" w:hAnsi="Times New Roman" w:cs="Times New Roman"/>
          <w:sz w:val="24"/>
          <w:szCs w:val="24"/>
        </w:rPr>
        <w:t xml:space="preserve"> que o uso dos coadjuvantes deve ser limitado a alimentos específicos, em condições específicas e ao menor nível para alcançar o efeito desejado;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F66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D3F66">
        <w:rPr>
          <w:rFonts w:ascii="Times New Roman" w:hAnsi="Times New Roman" w:cs="Times New Roman"/>
          <w:sz w:val="24"/>
          <w:szCs w:val="24"/>
        </w:rPr>
        <w:t xml:space="preserve"> que as substâncias em questão constam do Inventário de Coadjuvantes de Tecnologia adotado pelo </w:t>
      </w:r>
      <w:proofErr w:type="spellStart"/>
      <w:r w:rsidRPr="00CD3F66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CD3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F66">
        <w:rPr>
          <w:rFonts w:ascii="Times New Roman" w:hAnsi="Times New Roman" w:cs="Times New Roman"/>
          <w:sz w:val="24"/>
          <w:szCs w:val="24"/>
        </w:rPr>
        <w:t>Alimentarius</w:t>
      </w:r>
      <w:proofErr w:type="spellEnd"/>
      <w:r w:rsidRPr="00CD3F66">
        <w:rPr>
          <w:rFonts w:ascii="Times New Roman" w:hAnsi="Times New Roman" w:cs="Times New Roman"/>
          <w:sz w:val="24"/>
          <w:szCs w:val="24"/>
        </w:rPr>
        <w:t>;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F66">
        <w:rPr>
          <w:rFonts w:ascii="Times New Roman" w:hAnsi="Times New Roman" w:cs="Times New Roman"/>
          <w:sz w:val="24"/>
          <w:szCs w:val="24"/>
        </w:rPr>
        <w:t>adotou</w:t>
      </w:r>
      <w:proofErr w:type="gramEnd"/>
      <w:r w:rsidRPr="00CD3F66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 xml:space="preserve">Art. 1º Aprovar o Regulamento Técnico sobre o uso de Coadjuvantes de Tecnologia, estabelecendo suas funções, para a Categoria de Alimentos - Óleos e Gorduras, constantes do Anexo da presente Resolução.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 xml:space="preserve">Art. 2º Os coadjuvantes de tecnologia não devem ser utilizados em substituição às Boas Práticas de Fabricação e ou às Boas Práticas Agrícolas.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 xml:space="preserve">Art. 3º O descumprimento aos termos desta Resolução constitui infração sanitária, sujeitando os infratores às penalidades previstas na Lei nº. 6.437, de 20 de agosto de 1977, e demais disposições aplicáveis.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 xml:space="preserve">Art. 4º Revogam-se as disposições em contrário, em especial a Resolução CNNPA 02/76. 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 xml:space="preserve">Art. 5º Esta Resolução entra em vigor na data de sua publicação. </w:t>
      </w:r>
    </w:p>
    <w:p w:rsidR="00CD3F66" w:rsidRDefault="00354388" w:rsidP="004728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>DIRCEU RAPOSO DE MELLO</w:t>
      </w:r>
    </w:p>
    <w:p w:rsidR="00354388" w:rsidRPr="00CD3F66" w:rsidRDefault="00354388" w:rsidP="0035438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3F66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>1. Atribuição de Coadjuvantes de Tecnologia para a Categoria de Alimentos - Óleos e Gorduras</w:t>
      </w:r>
    </w:p>
    <w:tbl>
      <w:tblPr>
        <w:tblStyle w:val="Tabelacomgrade"/>
        <w:tblW w:w="9383" w:type="dxa"/>
        <w:tblLook w:val="04A0" w:firstRow="1" w:lastRow="0" w:firstColumn="1" w:lastColumn="0" w:noHBand="0" w:noVBand="1"/>
      </w:tblPr>
      <w:tblGrid>
        <w:gridCol w:w="4030"/>
        <w:gridCol w:w="5353"/>
      </w:tblGrid>
      <w:tr w:rsidR="00354388" w:rsidRPr="00CD3F66" w:rsidTr="001E5A5E">
        <w:tc>
          <w:tcPr>
            <w:tcW w:w="4030" w:type="dxa"/>
          </w:tcPr>
          <w:p w:rsidR="00354388" w:rsidRPr="00CD3F66" w:rsidRDefault="00354388" w:rsidP="003543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5353" w:type="dxa"/>
          </w:tcPr>
          <w:p w:rsidR="00354388" w:rsidRPr="00CD3F66" w:rsidRDefault="00354388" w:rsidP="0035438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SUBSTÂNCIA</w:t>
            </w:r>
          </w:p>
        </w:tc>
      </w:tr>
      <w:tr w:rsidR="00354388" w:rsidRPr="00CD3F66" w:rsidTr="001E5A5E">
        <w:tc>
          <w:tcPr>
            <w:tcW w:w="4030" w:type="dxa"/>
          </w:tcPr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Agente </w:t>
            </w:r>
            <w:proofErr w:type="spellStart"/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degomante</w:t>
            </w:r>
            <w:proofErr w:type="spellEnd"/>
          </w:p>
        </w:tc>
        <w:tc>
          <w:tcPr>
            <w:tcW w:w="5353" w:type="dxa"/>
          </w:tcPr>
          <w:p w:rsidR="00354388" w:rsidRPr="00CD3F66" w:rsidRDefault="00354388" w:rsidP="00354388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Ácido cítrico</w:t>
            </w:r>
          </w:p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Ácido fosfórico</w:t>
            </w:r>
          </w:p>
          <w:p w:rsidR="00354388" w:rsidRPr="00CD3F66" w:rsidRDefault="00354388" w:rsidP="00354388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Ácido sulfúrico</w:t>
            </w:r>
          </w:p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Ácido lático</w:t>
            </w:r>
          </w:p>
        </w:tc>
      </w:tr>
      <w:tr w:rsidR="00CD3F66" w:rsidRPr="00CD3F66" w:rsidTr="001E5A5E">
        <w:tc>
          <w:tcPr>
            <w:tcW w:w="4030" w:type="dxa"/>
            <w:vMerge w:val="restart"/>
          </w:tcPr>
          <w:p w:rsidR="00CD3F66" w:rsidRPr="00CD3F66" w:rsidRDefault="00CD3F66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Agente de clarificação/ Agente de filtração</w:t>
            </w:r>
          </w:p>
        </w:tc>
        <w:tc>
          <w:tcPr>
            <w:tcW w:w="5353" w:type="dxa"/>
          </w:tcPr>
          <w:p w:rsidR="00CD3F66" w:rsidRPr="00CD3F66" w:rsidRDefault="00CD3F66" w:rsidP="00CD3F6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Bentonita</w:t>
            </w:r>
            <w:proofErr w:type="spellEnd"/>
          </w:p>
          <w:p w:rsidR="00CD3F66" w:rsidRPr="00CD3F66" w:rsidRDefault="00CD3F66" w:rsidP="00CD3F66">
            <w:pPr>
              <w:pBdr>
                <w:top w:val="single" w:sz="6" w:space="1" w:color="auto"/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Carvão ativo</w:t>
            </w:r>
          </w:p>
          <w:p w:rsidR="00CD3F66" w:rsidRPr="00CD3F66" w:rsidRDefault="00CD3F66" w:rsidP="009947A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Silicato de magnésio </w:t>
            </w:r>
            <w:r w:rsidRPr="00CD3F66">
              <w:rPr>
                <w:rFonts w:ascii="Times New Roman" w:hAnsi="Times New Roman" w:cs="Times New Roman"/>
                <w:b/>
                <w:color w:val="0000FF"/>
                <w:szCs w:val="24"/>
              </w:rPr>
              <w:t>(in</w:t>
            </w:r>
            <w:r w:rsidR="009947AB">
              <w:rPr>
                <w:rFonts w:ascii="Times New Roman" w:hAnsi="Times New Roman" w:cs="Times New Roman"/>
                <w:b/>
                <w:color w:val="0000FF"/>
                <w:szCs w:val="24"/>
              </w:rPr>
              <w:t>cluída</w:t>
            </w:r>
            <w:r w:rsidRPr="00CD3F66">
              <w:rPr>
                <w:rFonts w:ascii="Times New Roman" w:hAnsi="Times New Roman" w:cs="Times New Roman"/>
                <w:b/>
                <w:color w:val="0000FF"/>
                <w:szCs w:val="24"/>
              </w:rPr>
              <w:t xml:space="preserve"> pela Resolução – RDC nº 81, de 02 de junho de 2016)</w:t>
            </w:r>
          </w:p>
        </w:tc>
      </w:tr>
      <w:tr w:rsidR="00CD3F66" w:rsidRPr="00CD3F66" w:rsidTr="001E5A5E">
        <w:tc>
          <w:tcPr>
            <w:tcW w:w="4030" w:type="dxa"/>
            <w:vMerge/>
          </w:tcPr>
          <w:p w:rsidR="00CD3F66" w:rsidRPr="00CD3F66" w:rsidRDefault="00CD3F66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53" w:type="dxa"/>
          </w:tcPr>
          <w:p w:rsidR="00CD3F66" w:rsidRPr="00CD3F66" w:rsidRDefault="00CD3F66" w:rsidP="00354388">
            <w:pPr>
              <w:pBdr>
                <w:bottom w:val="single" w:sz="6" w:space="1" w:color="auto"/>
                <w:between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Sílica gel, dióxido de silício, sílica amorfa</w:t>
            </w:r>
          </w:p>
          <w:p w:rsidR="00CD3F66" w:rsidRPr="00CD3F66" w:rsidRDefault="00CD3F66" w:rsidP="00354388">
            <w:pPr>
              <w:pBdr>
                <w:bottom w:val="single" w:sz="6" w:space="1" w:color="auto"/>
                <w:between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Terra diatomácea</w:t>
            </w:r>
          </w:p>
          <w:p w:rsidR="00CD3F66" w:rsidRPr="00CD3F66" w:rsidRDefault="00CD3F66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Terras clarificantes</w:t>
            </w:r>
          </w:p>
        </w:tc>
      </w:tr>
      <w:tr w:rsidR="00354388" w:rsidRPr="00CD3F66" w:rsidTr="001E5A5E">
        <w:tc>
          <w:tcPr>
            <w:tcW w:w="4030" w:type="dxa"/>
          </w:tcPr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Catalisador</w:t>
            </w:r>
          </w:p>
        </w:tc>
        <w:tc>
          <w:tcPr>
            <w:tcW w:w="5353" w:type="dxa"/>
          </w:tcPr>
          <w:p w:rsidR="00961F7F" w:rsidRPr="00CD3F66" w:rsidRDefault="00354388" w:rsidP="00961F7F">
            <w:pPr>
              <w:pBdr>
                <w:bottom w:val="single" w:sz="4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Metilato</w:t>
            </w:r>
            <w:proofErr w:type="spellEnd"/>
            <w:r w:rsidRPr="00CD3F66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  <w:p w:rsidR="00961F7F" w:rsidRPr="00CD3F66" w:rsidRDefault="00961F7F" w:rsidP="00961F7F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Mistura à base de cromo, manganês e óxido de cobre</w:t>
            </w:r>
          </w:p>
          <w:p w:rsidR="00354388" w:rsidRPr="00CD3F66" w:rsidRDefault="00354388" w:rsidP="00961F7F">
            <w:pPr>
              <w:pBdr>
                <w:bottom w:val="single" w:sz="4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Níquel</w:t>
            </w:r>
          </w:p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Misturas à base de platina, ouro e paládio</w:t>
            </w:r>
          </w:p>
        </w:tc>
      </w:tr>
      <w:tr w:rsidR="00354388" w:rsidRPr="00CD3F66" w:rsidTr="001E5A5E">
        <w:tc>
          <w:tcPr>
            <w:tcW w:w="4030" w:type="dxa"/>
          </w:tcPr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Solvente de extração e processamento</w:t>
            </w:r>
          </w:p>
        </w:tc>
        <w:tc>
          <w:tcPr>
            <w:tcW w:w="5353" w:type="dxa"/>
          </w:tcPr>
          <w:p w:rsidR="00354388" w:rsidRPr="00CD3F66" w:rsidRDefault="00354388" w:rsidP="00961F7F">
            <w:pPr>
              <w:pBdr>
                <w:bottom w:val="single" w:sz="4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Acetona</w:t>
            </w:r>
          </w:p>
          <w:p w:rsidR="00354388" w:rsidRPr="00CD3F66" w:rsidRDefault="00354388" w:rsidP="00354388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Hexana</w:t>
            </w:r>
            <w:proofErr w:type="spellEnd"/>
          </w:p>
          <w:p w:rsidR="00354388" w:rsidRPr="00CD3F66" w:rsidRDefault="00354388" w:rsidP="00961F7F">
            <w:pPr>
              <w:pBdr>
                <w:bottom w:val="single" w:sz="4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Álcool etílico</w:t>
            </w:r>
          </w:p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Dióxido de carbono</w:t>
            </w:r>
          </w:p>
        </w:tc>
      </w:tr>
      <w:tr w:rsidR="00354388" w:rsidRPr="00CD3F66" w:rsidTr="001E5A5E">
        <w:tc>
          <w:tcPr>
            <w:tcW w:w="4030" w:type="dxa"/>
          </w:tcPr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Resinas de troca iônica, membranas e peneiras moleculares</w:t>
            </w:r>
          </w:p>
        </w:tc>
        <w:tc>
          <w:tcPr>
            <w:tcW w:w="5353" w:type="dxa"/>
          </w:tcPr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Resinas de troca iônica, membranas e peneiras moleculares</w:t>
            </w:r>
          </w:p>
        </w:tc>
      </w:tr>
      <w:tr w:rsidR="0054704B" w:rsidRPr="00CD3F66" w:rsidTr="001E5A5E">
        <w:tc>
          <w:tcPr>
            <w:tcW w:w="4030" w:type="dxa"/>
            <w:vMerge w:val="restart"/>
          </w:tcPr>
          <w:p w:rsidR="0054704B" w:rsidRPr="00CD3F66" w:rsidRDefault="0054704B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Gás propelente</w:t>
            </w:r>
          </w:p>
        </w:tc>
        <w:tc>
          <w:tcPr>
            <w:tcW w:w="5353" w:type="dxa"/>
          </w:tcPr>
          <w:p w:rsidR="0054704B" w:rsidRPr="00CD3F66" w:rsidRDefault="0054704B" w:rsidP="00354388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Dióxido de carbono </w:t>
            </w:r>
            <w:r w:rsidRPr="00CD3F66">
              <w:rPr>
                <w:rFonts w:ascii="Times New Roman" w:hAnsi="Times New Roman" w:cs="Times New Roman"/>
                <w:b/>
                <w:color w:val="0000FF"/>
                <w:szCs w:val="24"/>
              </w:rPr>
              <w:t>(in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cluída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 xml:space="preserve"> pela Resolução – RDC nº 149</w:t>
            </w:r>
            <w:r w:rsidRPr="00CD3F66">
              <w:rPr>
                <w:rFonts w:ascii="Times New Roman" w:hAnsi="Times New Roman" w:cs="Times New Roman"/>
                <w:b/>
                <w:color w:val="0000FF"/>
                <w:szCs w:val="24"/>
              </w:rPr>
              <w:t xml:space="preserve">, de 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29</w:t>
            </w:r>
            <w:r w:rsidRPr="00CD3F66">
              <w:rPr>
                <w:rFonts w:ascii="Times New Roman" w:hAnsi="Times New Roman" w:cs="Times New Roman"/>
                <w:b/>
                <w:color w:val="0000FF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março de 2017</w:t>
            </w:r>
            <w:r w:rsidRPr="00CD3F66">
              <w:rPr>
                <w:rFonts w:ascii="Times New Roman" w:hAnsi="Times New Roman" w:cs="Times New Roman"/>
                <w:b/>
                <w:color w:val="0000FF"/>
                <w:szCs w:val="24"/>
              </w:rPr>
              <w:t>)</w:t>
            </w:r>
            <w:bookmarkStart w:id="0" w:name="_GoBack"/>
            <w:bookmarkEnd w:id="0"/>
          </w:p>
        </w:tc>
      </w:tr>
      <w:tr w:rsidR="0054704B" w:rsidRPr="00CD3F66" w:rsidTr="001E5A5E">
        <w:tc>
          <w:tcPr>
            <w:tcW w:w="4030" w:type="dxa"/>
            <w:vMerge/>
          </w:tcPr>
          <w:p w:rsidR="0054704B" w:rsidRPr="00CD3F66" w:rsidRDefault="0054704B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53" w:type="dxa"/>
          </w:tcPr>
          <w:p w:rsidR="0054704B" w:rsidRPr="00CD3F66" w:rsidRDefault="0054704B" w:rsidP="00354388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Nitrogênio</w:t>
            </w:r>
          </w:p>
          <w:p w:rsidR="0054704B" w:rsidRPr="00CD3F66" w:rsidRDefault="0054704B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Óxido nitroso</w:t>
            </w:r>
          </w:p>
        </w:tc>
      </w:tr>
      <w:tr w:rsidR="00354388" w:rsidRPr="00CD3F66" w:rsidTr="001E5A5E">
        <w:tc>
          <w:tcPr>
            <w:tcW w:w="4030" w:type="dxa"/>
          </w:tcPr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F66">
              <w:rPr>
                <w:rFonts w:ascii="Times New Roman" w:hAnsi="Times New Roman" w:cs="Times New Roman"/>
                <w:b/>
                <w:sz w:val="24"/>
                <w:szCs w:val="24"/>
              </w:rPr>
              <w:t>Detergente</w:t>
            </w:r>
          </w:p>
        </w:tc>
        <w:tc>
          <w:tcPr>
            <w:tcW w:w="5353" w:type="dxa"/>
          </w:tcPr>
          <w:p w:rsidR="00354388" w:rsidRPr="00CD3F66" w:rsidRDefault="00354388" w:rsidP="0035438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F66">
              <w:rPr>
                <w:rFonts w:ascii="Times New Roman" w:hAnsi="Times New Roman" w:cs="Times New Roman"/>
                <w:sz w:val="24"/>
                <w:szCs w:val="24"/>
              </w:rPr>
              <w:t>Lauril</w:t>
            </w:r>
            <w:proofErr w:type="spellEnd"/>
            <w:r w:rsidRPr="00CD3F66">
              <w:rPr>
                <w:rFonts w:ascii="Times New Roman" w:hAnsi="Times New Roman" w:cs="Times New Roman"/>
                <w:sz w:val="24"/>
                <w:szCs w:val="24"/>
              </w:rPr>
              <w:t xml:space="preserve"> sulfato de sódio</w:t>
            </w:r>
          </w:p>
        </w:tc>
      </w:tr>
    </w:tbl>
    <w:p w:rsidR="00354388" w:rsidRPr="00CD3F66" w:rsidRDefault="00354388" w:rsidP="003543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D3F66">
        <w:rPr>
          <w:rFonts w:ascii="Times New Roman" w:hAnsi="Times New Roman" w:cs="Times New Roman"/>
          <w:sz w:val="24"/>
          <w:szCs w:val="24"/>
        </w:rPr>
        <w:t>2. É autorizado o uso de hidróxido de sódio e carbonato de sódio na etapa de neutralização do óleo, cuja finalidade é a eliminação de ácidos graxos livres e outros componentes indesejáveis.</w:t>
      </w:r>
    </w:p>
    <w:sectPr w:rsidR="00354388" w:rsidRPr="00CD3F66" w:rsidSect="00CD3F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1B" w:rsidRDefault="0047281B" w:rsidP="0047281B">
      <w:pPr>
        <w:spacing w:after="0" w:line="240" w:lineRule="auto"/>
      </w:pPr>
      <w:r>
        <w:separator/>
      </w:r>
    </w:p>
  </w:endnote>
  <w:endnote w:type="continuationSeparator" w:id="0">
    <w:p w:rsidR="0047281B" w:rsidRDefault="0047281B" w:rsidP="0047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1B" w:rsidRDefault="004728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1B" w:rsidRPr="008A0471" w:rsidRDefault="0047281B" w:rsidP="0047281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7281B" w:rsidRDefault="0047281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1B" w:rsidRDefault="004728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1B" w:rsidRDefault="0047281B" w:rsidP="0047281B">
      <w:pPr>
        <w:spacing w:after="0" w:line="240" w:lineRule="auto"/>
      </w:pPr>
      <w:r>
        <w:separator/>
      </w:r>
    </w:p>
  </w:footnote>
  <w:footnote w:type="continuationSeparator" w:id="0">
    <w:p w:rsidR="0047281B" w:rsidRDefault="0047281B" w:rsidP="0047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1B" w:rsidRDefault="004728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1B" w:rsidRPr="00B517AC" w:rsidRDefault="0047281B" w:rsidP="0047281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B18C47D" wp14:editId="1036DF4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281B" w:rsidRPr="00B517AC" w:rsidRDefault="0047281B" w:rsidP="0047281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7281B" w:rsidRPr="00B517AC" w:rsidRDefault="0047281B" w:rsidP="0047281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7281B" w:rsidRDefault="0047281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1B" w:rsidRDefault="004728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7C"/>
    <w:rsid w:val="001E5A5E"/>
    <w:rsid w:val="001E708B"/>
    <w:rsid w:val="00255A0F"/>
    <w:rsid w:val="00354388"/>
    <w:rsid w:val="0037757C"/>
    <w:rsid w:val="0047281B"/>
    <w:rsid w:val="0054704B"/>
    <w:rsid w:val="007441BF"/>
    <w:rsid w:val="00786686"/>
    <w:rsid w:val="0084103A"/>
    <w:rsid w:val="00961F7F"/>
    <w:rsid w:val="009947AB"/>
    <w:rsid w:val="00B30817"/>
    <w:rsid w:val="00CD3F66"/>
    <w:rsid w:val="00D621E1"/>
    <w:rsid w:val="00D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D312"/>
  <w15:docId w15:val="{F1C7399A-8D67-4E74-A340-53EA6F6B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388"/>
    <w:pPr>
      <w:ind w:left="720"/>
      <w:contextualSpacing/>
    </w:pPr>
  </w:style>
  <w:style w:type="table" w:styleId="Tabelacomgrade">
    <w:name w:val="Table Grid"/>
    <w:basedOn w:val="Tabelanormal"/>
    <w:uiPriority w:val="59"/>
    <w:rsid w:val="0035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747A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72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B"/>
  </w:style>
  <w:style w:type="paragraph" w:styleId="Rodap">
    <w:name w:val="footer"/>
    <w:basedOn w:val="Normal"/>
    <w:link w:val="RodapChar"/>
    <w:uiPriority w:val="99"/>
    <w:unhideWhenUsed/>
    <w:rsid w:val="00472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B"/>
  </w:style>
  <w:style w:type="paragraph" w:styleId="Textodebalo">
    <w:name w:val="Balloon Text"/>
    <w:basedOn w:val="Normal"/>
    <w:link w:val="TextodebaloChar"/>
    <w:uiPriority w:val="99"/>
    <w:semiHidden/>
    <w:unhideWhenUsed/>
    <w:rsid w:val="0047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C9548-3D0A-439B-B705-9EE02DF9EFDA}"/>
</file>

<file path=customXml/itemProps2.xml><?xml version="1.0" encoding="utf-8"?>
<ds:datastoreItem xmlns:ds="http://schemas.openxmlformats.org/officeDocument/2006/customXml" ds:itemID="{82BB2EB8-D62D-4CEA-8A43-CD417615B050}"/>
</file>

<file path=customXml/itemProps3.xml><?xml version="1.0" encoding="utf-8"?>
<ds:datastoreItem xmlns:ds="http://schemas.openxmlformats.org/officeDocument/2006/customXml" ds:itemID="{C2095584-1A4B-467E-9312-32030895B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7</cp:revision>
  <dcterms:created xsi:type="dcterms:W3CDTF">2016-06-07T18:41:00Z</dcterms:created>
  <dcterms:modified xsi:type="dcterms:W3CDTF">2017-03-31T13:47:00Z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