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F3" w:rsidRPr="00201220" w:rsidRDefault="000566F3" w:rsidP="00201220">
      <w:pPr>
        <w:pStyle w:val="Ttulo1"/>
        <w:spacing w:before="0" w:beforeAutospacing="0" w:after="200" w:afterAutospacing="0"/>
        <w:ind w:left="-567" w:right="-568"/>
        <w:divId w:val="174641905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01220">
        <w:rPr>
          <w:rFonts w:ascii="Times New Roman" w:hAnsi="Times New Roman" w:cs="Times New Roman"/>
          <w:sz w:val="24"/>
          <w:szCs w:val="24"/>
        </w:rPr>
        <w:t>RESOLUÇÃO DA DIRETORIA COLEGIADA - RDC Nº 24, DE 12 DE ABRIL DE 2012.</w:t>
      </w:r>
    </w:p>
    <w:p w:rsidR="00201220" w:rsidRPr="00201220" w:rsidRDefault="00201220" w:rsidP="00201220">
      <w:pPr>
        <w:spacing w:before="0" w:beforeAutospacing="0" w:after="200" w:afterAutospacing="0"/>
        <w:ind w:left="708"/>
        <w:jc w:val="center"/>
        <w:divId w:val="1746419055"/>
        <w:rPr>
          <w:b/>
          <w:color w:val="0000FF"/>
        </w:rPr>
      </w:pPr>
      <w:r w:rsidRPr="00201220">
        <w:rPr>
          <w:b/>
          <w:color w:val="0000FF"/>
        </w:rPr>
        <w:t>(Publicada no DOU nº 72, de 13 de abril de 2012)</w:t>
      </w:r>
    </w:p>
    <w:p w:rsidR="000566F3" w:rsidRPr="00201220" w:rsidRDefault="000566F3" w:rsidP="00201220">
      <w:pPr>
        <w:spacing w:before="0" w:beforeAutospacing="0" w:after="200" w:afterAutospacing="0"/>
        <w:ind w:left="3969"/>
        <w:jc w:val="both"/>
        <w:divId w:val="1746419055"/>
        <w:rPr>
          <w:bCs/>
        </w:rPr>
      </w:pPr>
      <w:r w:rsidRPr="00201220">
        <w:rPr>
          <w:bCs/>
        </w:rPr>
        <w:t xml:space="preserve">Dispõe sobre a atualização do Anexo III, </w:t>
      </w:r>
      <w:r w:rsidRPr="00201220">
        <w:t>Indicações previstas para tratamento com a Talidomida</w:t>
      </w:r>
      <w:r w:rsidRPr="00201220">
        <w:rPr>
          <w:bCs/>
        </w:rPr>
        <w:t xml:space="preserve">, da </w:t>
      </w:r>
      <w:r w:rsidRPr="00201220">
        <w:t>RDC nº. 11, de 22 de março de 2011</w:t>
      </w:r>
      <w:r w:rsidRPr="00201220">
        <w:rPr>
          <w:bCs/>
        </w:rPr>
        <w:t>.</w:t>
      </w:r>
    </w:p>
    <w:p w:rsidR="000566F3" w:rsidRPr="00201220" w:rsidRDefault="000566F3" w:rsidP="00201220">
      <w:pPr>
        <w:spacing w:before="0" w:beforeAutospacing="0" w:after="200" w:afterAutospacing="0"/>
        <w:ind w:firstLine="567"/>
        <w:jc w:val="both"/>
        <w:divId w:val="1746419055"/>
      </w:pPr>
      <w:r w:rsidRPr="00201220">
        <w:rPr>
          <w:b/>
          <w:bCs/>
        </w:rPr>
        <w:t>A Diretoria Colegiada da Agência Nacional de Vigilância Sanitária</w:t>
      </w:r>
      <w:r w:rsidRPr="00201220"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10 de abril de 2012, e </w:t>
      </w:r>
    </w:p>
    <w:p w:rsidR="000566F3" w:rsidRPr="00201220" w:rsidRDefault="000566F3" w:rsidP="00201220">
      <w:pPr>
        <w:spacing w:before="0" w:beforeAutospacing="0" w:after="200" w:afterAutospacing="0"/>
        <w:ind w:firstLine="567"/>
        <w:jc w:val="both"/>
        <w:divId w:val="1746419055"/>
      </w:pPr>
      <w:r w:rsidRPr="00201220">
        <w:t>Adota a seguinte Resolução da Diretoria Colegiada e eu, Diretor-Presidente, determino sua publicação:</w:t>
      </w:r>
    </w:p>
    <w:p w:rsidR="000566F3" w:rsidRPr="00201220" w:rsidRDefault="000566F3" w:rsidP="00201220">
      <w:pPr>
        <w:spacing w:before="0" w:beforeAutospacing="0" w:after="200" w:afterAutospacing="0"/>
        <w:ind w:firstLine="567"/>
        <w:jc w:val="both"/>
        <w:divId w:val="1746419055"/>
      </w:pPr>
      <w:r w:rsidRPr="00201220">
        <w:t>Art. 1º O Anexo III da Resolução da Diretoria Colegiada – RDC nº 11, de 22 de março de 2011, passa a vigorar com a redação constante do Anexo a esta Resolução.</w:t>
      </w:r>
    </w:p>
    <w:p w:rsidR="000566F3" w:rsidRPr="00201220" w:rsidRDefault="000566F3" w:rsidP="00201220">
      <w:pPr>
        <w:spacing w:before="0" w:beforeAutospacing="0" w:after="200" w:afterAutospacing="0"/>
        <w:ind w:firstLine="567"/>
        <w:jc w:val="both"/>
        <w:divId w:val="1746419055"/>
        <w:rPr>
          <w:color w:val="000000"/>
        </w:rPr>
      </w:pPr>
      <w:r w:rsidRPr="00201220">
        <w:rPr>
          <w:color w:val="000000"/>
        </w:rPr>
        <w:t>Art. 2º Esta Resolução entra em vigor na data de sua publicação.</w:t>
      </w:r>
    </w:p>
    <w:p w:rsidR="00D420EC" w:rsidRDefault="00D420EC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0566F3" w:rsidRPr="00201220" w:rsidRDefault="000566F3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color w:val="auto"/>
          <w:sz w:val="24"/>
          <w:szCs w:val="24"/>
        </w:rPr>
      </w:pPr>
      <w:r w:rsidRPr="00201220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201220" w:rsidRDefault="00201220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</w:p>
    <w:p w:rsidR="000566F3" w:rsidRPr="00201220" w:rsidRDefault="000566F3" w:rsidP="00201220">
      <w:pPr>
        <w:pStyle w:val="Ttulo2"/>
        <w:spacing w:before="0" w:beforeAutospacing="0" w:after="200" w:afterAutospacing="0"/>
        <w:divId w:val="1746419055"/>
        <w:rPr>
          <w:rFonts w:ascii="Times New Roman" w:hAnsi="Times New Roman" w:cs="Times New Roman"/>
          <w:sz w:val="24"/>
          <w:szCs w:val="24"/>
        </w:rPr>
      </w:pPr>
      <w:r w:rsidRPr="00201220">
        <w:rPr>
          <w:rFonts w:ascii="Times New Roman" w:hAnsi="Times New Roman" w:cs="Times New Roman"/>
          <w:sz w:val="24"/>
          <w:szCs w:val="24"/>
        </w:rPr>
        <w:t>ANEXO III</w:t>
      </w:r>
    </w:p>
    <w:p w:rsidR="000566F3" w:rsidRPr="00201220" w:rsidRDefault="000566F3" w:rsidP="00201220">
      <w:pPr>
        <w:spacing w:before="0" w:beforeAutospacing="0" w:after="200" w:afterAutospacing="0"/>
        <w:jc w:val="center"/>
        <w:divId w:val="1746419055"/>
        <w:rPr>
          <w:b/>
        </w:rPr>
      </w:pPr>
      <w:r w:rsidRPr="00201220">
        <w:rPr>
          <w:b/>
        </w:rPr>
        <w:t>Indicações previstas para tratamento com a Talidomida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5"/>
        <w:gridCol w:w="1739"/>
      </w:tblGrid>
      <w:tr w:rsidR="000566F3" w:rsidRPr="00201220" w:rsidTr="000566F3">
        <w:trPr>
          <w:divId w:val="1746419055"/>
          <w:jc w:val="center"/>
        </w:trPr>
        <w:tc>
          <w:tcPr>
            <w:tcW w:w="5065" w:type="dxa"/>
            <w:shd w:val="clear" w:color="auto" w:fill="D9D9D9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center"/>
            </w:pPr>
            <w:r w:rsidRPr="00201220">
              <w:t>Doenças</w:t>
            </w:r>
          </w:p>
        </w:tc>
        <w:tc>
          <w:tcPr>
            <w:tcW w:w="1739" w:type="dxa"/>
            <w:shd w:val="clear" w:color="auto" w:fill="D9D9D9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center"/>
            </w:pPr>
            <w:r w:rsidRPr="00201220">
              <w:t>CID</w:t>
            </w:r>
          </w:p>
        </w:tc>
      </w:tr>
      <w:tr w:rsidR="000566F3" w:rsidRPr="00201220" w:rsidTr="000566F3">
        <w:trPr>
          <w:divId w:val="1746419055"/>
          <w:jc w:val="center"/>
        </w:trPr>
        <w:tc>
          <w:tcPr>
            <w:tcW w:w="5065" w:type="dxa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both"/>
            </w:pPr>
            <w:r w:rsidRPr="00201220">
              <w:rPr>
                <w:bCs/>
              </w:rPr>
              <w:t>Hanseníase: reação hansênica tipo eritema nodoso ou tipo II</w:t>
            </w:r>
          </w:p>
        </w:tc>
        <w:tc>
          <w:tcPr>
            <w:tcW w:w="1739" w:type="dxa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center"/>
            </w:pPr>
            <w:r w:rsidRPr="00201220">
              <w:t>A 30</w:t>
            </w:r>
          </w:p>
        </w:tc>
      </w:tr>
      <w:tr w:rsidR="000566F3" w:rsidRPr="00201220" w:rsidTr="000566F3">
        <w:trPr>
          <w:divId w:val="1746419055"/>
          <w:jc w:val="center"/>
        </w:trPr>
        <w:tc>
          <w:tcPr>
            <w:tcW w:w="5065" w:type="dxa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both"/>
            </w:pPr>
            <w:r w:rsidRPr="00201220">
              <w:rPr>
                <w:bCs/>
              </w:rPr>
              <w:t>DST/AIDS: úlceras aftóides idiopáticas em pacientes portadores de HIV/AIDS</w:t>
            </w:r>
          </w:p>
        </w:tc>
        <w:tc>
          <w:tcPr>
            <w:tcW w:w="1739" w:type="dxa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center"/>
            </w:pPr>
            <w:r w:rsidRPr="00201220">
              <w:t>B 23.8</w:t>
            </w:r>
          </w:p>
        </w:tc>
      </w:tr>
      <w:tr w:rsidR="000566F3" w:rsidRPr="00201220" w:rsidTr="000566F3">
        <w:trPr>
          <w:divId w:val="1746419055"/>
          <w:trHeight w:val="271"/>
          <w:jc w:val="center"/>
        </w:trPr>
        <w:tc>
          <w:tcPr>
            <w:tcW w:w="5065" w:type="dxa"/>
            <w:tcBorders>
              <w:bottom w:val="nil"/>
            </w:tcBorders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both"/>
              <w:rPr>
                <w:bCs/>
              </w:rPr>
            </w:pPr>
            <w:r w:rsidRPr="00201220">
              <w:rPr>
                <w:bCs/>
              </w:rPr>
              <w:t>Doenças crônico-degenerativas:</w:t>
            </w:r>
          </w:p>
        </w:tc>
        <w:tc>
          <w:tcPr>
            <w:tcW w:w="1739" w:type="dxa"/>
            <w:tcBorders>
              <w:bottom w:val="nil"/>
            </w:tcBorders>
          </w:tcPr>
          <w:p w:rsidR="000566F3" w:rsidRPr="00201220" w:rsidRDefault="000566F3" w:rsidP="00201220">
            <w:pPr>
              <w:spacing w:before="0" w:beforeAutospacing="0" w:after="200" w:afterAutospacing="0"/>
              <w:ind w:left="360"/>
              <w:rPr>
                <w:bCs/>
              </w:rPr>
            </w:pPr>
          </w:p>
        </w:tc>
      </w:tr>
      <w:tr w:rsidR="000566F3" w:rsidRPr="00201220" w:rsidTr="000566F3">
        <w:trPr>
          <w:divId w:val="1746419055"/>
          <w:trHeight w:val="275"/>
          <w:jc w:val="center"/>
        </w:trPr>
        <w:tc>
          <w:tcPr>
            <w:tcW w:w="5065" w:type="dxa"/>
            <w:tcBorders>
              <w:top w:val="nil"/>
              <w:bottom w:val="nil"/>
            </w:tcBorders>
            <w:hideMark/>
          </w:tcPr>
          <w:p w:rsidR="000566F3" w:rsidRPr="00201220" w:rsidRDefault="000566F3" w:rsidP="00201220">
            <w:pPr>
              <w:numPr>
                <w:ilvl w:val="0"/>
                <w:numId w:val="1"/>
              </w:numPr>
              <w:spacing w:before="0" w:beforeAutospacing="0" w:after="200" w:afterAutospacing="0"/>
              <w:jc w:val="both"/>
              <w:rPr>
                <w:bCs/>
              </w:rPr>
            </w:pPr>
            <w:r w:rsidRPr="00201220">
              <w:rPr>
                <w:bCs/>
              </w:rPr>
              <w:t>lúpus eritematoso sistêmico</w:t>
            </w:r>
          </w:p>
          <w:p w:rsidR="000566F3" w:rsidRPr="00201220" w:rsidRDefault="000566F3" w:rsidP="00201220">
            <w:pPr>
              <w:numPr>
                <w:ilvl w:val="0"/>
                <w:numId w:val="1"/>
              </w:numPr>
              <w:spacing w:before="0" w:beforeAutospacing="0" w:after="200" w:afterAutospacing="0"/>
              <w:jc w:val="both"/>
              <w:rPr>
                <w:bCs/>
              </w:rPr>
            </w:pPr>
            <w:r w:rsidRPr="00201220">
              <w:rPr>
                <w:bCs/>
              </w:rPr>
              <w:t>lúpus eritematoso discóide</w:t>
            </w:r>
          </w:p>
          <w:p w:rsidR="000566F3" w:rsidRPr="00201220" w:rsidRDefault="000566F3" w:rsidP="00201220">
            <w:pPr>
              <w:numPr>
                <w:ilvl w:val="0"/>
                <w:numId w:val="1"/>
              </w:numPr>
              <w:spacing w:before="0" w:beforeAutospacing="0" w:after="200" w:afterAutospacing="0"/>
              <w:jc w:val="both"/>
              <w:rPr>
                <w:bCs/>
              </w:rPr>
            </w:pPr>
            <w:r w:rsidRPr="00201220">
              <w:rPr>
                <w:bCs/>
              </w:rPr>
              <w:t>lúpus eritematoso cutâneo subagudo</w:t>
            </w:r>
          </w:p>
          <w:p w:rsidR="000566F3" w:rsidRPr="00201220" w:rsidRDefault="000566F3" w:rsidP="00201220">
            <w:pPr>
              <w:numPr>
                <w:ilvl w:val="0"/>
                <w:numId w:val="1"/>
              </w:numPr>
              <w:spacing w:before="0" w:beforeAutospacing="0" w:after="200" w:afterAutospacing="0"/>
              <w:jc w:val="both"/>
              <w:rPr>
                <w:bCs/>
              </w:rPr>
            </w:pPr>
            <w:r w:rsidRPr="00201220">
              <w:rPr>
                <w:bCs/>
              </w:rPr>
              <w:t>doença enxerto contra hospedeiro</w:t>
            </w:r>
          </w:p>
        </w:tc>
        <w:tc>
          <w:tcPr>
            <w:tcW w:w="1739" w:type="dxa"/>
            <w:tcBorders>
              <w:top w:val="nil"/>
              <w:bottom w:val="nil"/>
            </w:tcBorders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201220">
              <w:rPr>
                <w:bCs/>
              </w:rPr>
              <w:t>M 32</w:t>
            </w:r>
          </w:p>
          <w:p w:rsidR="000566F3" w:rsidRPr="00201220" w:rsidRDefault="000566F3" w:rsidP="00201220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201220">
              <w:rPr>
                <w:bCs/>
              </w:rPr>
              <w:t>L 93.0</w:t>
            </w:r>
          </w:p>
          <w:p w:rsidR="000566F3" w:rsidRPr="00201220" w:rsidRDefault="000566F3" w:rsidP="00201220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201220">
              <w:rPr>
                <w:bCs/>
              </w:rPr>
              <w:t>L 93.1</w:t>
            </w:r>
          </w:p>
          <w:p w:rsidR="000566F3" w:rsidRPr="00201220" w:rsidRDefault="000566F3" w:rsidP="00201220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201220">
              <w:rPr>
                <w:bCs/>
              </w:rPr>
              <w:t>T 86.0</w:t>
            </w:r>
          </w:p>
        </w:tc>
      </w:tr>
      <w:tr w:rsidR="000566F3" w:rsidRPr="00201220" w:rsidTr="000566F3">
        <w:trPr>
          <w:divId w:val="1746419055"/>
          <w:trHeight w:val="72"/>
          <w:jc w:val="center"/>
        </w:trPr>
        <w:tc>
          <w:tcPr>
            <w:tcW w:w="5065" w:type="dxa"/>
            <w:tcBorders>
              <w:top w:val="nil"/>
            </w:tcBorders>
          </w:tcPr>
          <w:p w:rsidR="000566F3" w:rsidRPr="00201220" w:rsidRDefault="000566F3" w:rsidP="00201220">
            <w:pPr>
              <w:spacing w:before="0" w:beforeAutospacing="0" w:after="200" w:afterAutospacing="0"/>
              <w:jc w:val="both"/>
              <w:rPr>
                <w:bCs/>
              </w:rPr>
            </w:pPr>
          </w:p>
        </w:tc>
        <w:tc>
          <w:tcPr>
            <w:tcW w:w="1739" w:type="dxa"/>
            <w:tcBorders>
              <w:top w:val="nil"/>
            </w:tcBorders>
          </w:tcPr>
          <w:p w:rsidR="000566F3" w:rsidRPr="00201220" w:rsidRDefault="000566F3" w:rsidP="00201220">
            <w:pPr>
              <w:spacing w:before="0" w:beforeAutospacing="0" w:after="200" w:afterAutospacing="0"/>
              <w:rPr>
                <w:bCs/>
              </w:rPr>
            </w:pPr>
          </w:p>
        </w:tc>
      </w:tr>
      <w:tr w:rsidR="000566F3" w:rsidRPr="00201220" w:rsidTr="000566F3">
        <w:trPr>
          <w:divId w:val="1746419055"/>
          <w:jc w:val="center"/>
        </w:trPr>
        <w:tc>
          <w:tcPr>
            <w:tcW w:w="5065" w:type="dxa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both"/>
            </w:pPr>
            <w:r w:rsidRPr="00201220">
              <w:rPr>
                <w:bCs/>
              </w:rPr>
              <w:t>Mieloma Múltiplo</w:t>
            </w:r>
          </w:p>
        </w:tc>
        <w:tc>
          <w:tcPr>
            <w:tcW w:w="1739" w:type="dxa"/>
            <w:hideMark/>
          </w:tcPr>
          <w:p w:rsidR="000566F3" w:rsidRPr="00201220" w:rsidRDefault="000566F3" w:rsidP="00201220">
            <w:pPr>
              <w:spacing w:before="0" w:beforeAutospacing="0" w:after="200" w:afterAutospacing="0"/>
              <w:jc w:val="center"/>
            </w:pPr>
            <w:r w:rsidRPr="00201220">
              <w:rPr>
                <w:bCs/>
              </w:rPr>
              <w:t>C 90.0</w:t>
            </w:r>
          </w:p>
        </w:tc>
      </w:tr>
    </w:tbl>
    <w:p w:rsidR="00A53197" w:rsidRPr="00201220" w:rsidRDefault="00A53197" w:rsidP="00201220">
      <w:pPr>
        <w:spacing w:before="0" w:beforeAutospacing="0" w:after="200" w:afterAutospacing="0"/>
        <w:divId w:val="1746419056"/>
      </w:pPr>
    </w:p>
    <w:sectPr w:rsidR="00A53197" w:rsidRPr="0020122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AE5" w:rsidRDefault="00852AE5" w:rsidP="00201220">
      <w:pPr>
        <w:spacing w:before="0" w:after="0"/>
      </w:pPr>
      <w:r>
        <w:separator/>
      </w:r>
    </w:p>
  </w:endnote>
  <w:endnote w:type="continuationSeparator" w:id="0">
    <w:p w:rsidR="00852AE5" w:rsidRDefault="00852AE5" w:rsidP="002012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220" w:rsidRPr="0018049F" w:rsidRDefault="00201220" w:rsidP="00201220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AE5" w:rsidRDefault="00852AE5" w:rsidP="00201220">
      <w:pPr>
        <w:spacing w:before="0" w:after="0"/>
      </w:pPr>
      <w:r>
        <w:separator/>
      </w:r>
    </w:p>
  </w:footnote>
  <w:footnote w:type="continuationSeparator" w:id="0">
    <w:p w:rsidR="00852AE5" w:rsidRDefault="00852AE5" w:rsidP="002012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220" w:rsidRPr="0018049F" w:rsidRDefault="00852AE5" w:rsidP="00D420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52AE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220" w:rsidRPr="0018049F" w:rsidRDefault="00201220" w:rsidP="00D420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01220" w:rsidRDefault="00201220" w:rsidP="00D420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201220" w:rsidRDefault="00201220" w:rsidP="00201220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7548"/>
    <w:multiLevelType w:val="hybridMultilevel"/>
    <w:tmpl w:val="50009B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566F3"/>
    <w:rsid w:val="00074AC0"/>
    <w:rsid w:val="000C2183"/>
    <w:rsid w:val="0018049F"/>
    <w:rsid w:val="00201220"/>
    <w:rsid w:val="003B32E6"/>
    <w:rsid w:val="00507305"/>
    <w:rsid w:val="00652E8A"/>
    <w:rsid w:val="00771958"/>
    <w:rsid w:val="00852AE5"/>
    <w:rsid w:val="008B7BC0"/>
    <w:rsid w:val="008D770F"/>
    <w:rsid w:val="00A53197"/>
    <w:rsid w:val="00AF43E7"/>
    <w:rsid w:val="00B45933"/>
    <w:rsid w:val="00C95A0B"/>
    <w:rsid w:val="00D420EC"/>
    <w:rsid w:val="00DF7C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0122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0122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0122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01220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0122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905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5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1329</Characters>
  <Application>Microsoft Office Word</Application>
  <DocSecurity>0</DocSecurity>
  <Lines>11</Lines>
  <Paragraphs>3</Paragraphs>
  <ScaleCrop>false</ScaleCrop>
  <Company>ANVISA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2018-01-17T18:19:00Z</cp:lastPrinted>
  <dcterms:created xsi:type="dcterms:W3CDTF">2018-08-16T18:37:00Z</dcterms:created>
  <dcterms:modified xsi:type="dcterms:W3CDTF">2018-08-16T18:37:00Z</dcterms:modified>
</cp:coreProperties>
</file>