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532957553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532957553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724F53">
      <w:pPr>
        <w:spacing w:before="0" w:beforeAutospacing="0" w:after="0" w:afterAutospacing="0"/>
        <w:jc w:val="center"/>
        <w:divId w:val="1532957554"/>
        <w:rPr>
          <w:rFonts w:eastAsia="Times New Roman"/>
        </w:rPr>
      </w:pPr>
      <w:r w:rsidRPr="00724F53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60" w:rsidRDefault="00A53197" w:rsidP="00391360">
      <w:pPr>
        <w:pStyle w:val="Default"/>
        <w:ind w:firstLine="567"/>
        <w:jc w:val="center"/>
        <w:divId w:val="1532957550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FA5497" w:rsidRDefault="00FA5497" w:rsidP="00391360">
      <w:pPr>
        <w:pStyle w:val="Default"/>
        <w:ind w:firstLine="567"/>
        <w:jc w:val="center"/>
        <w:divId w:val="1532957550"/>
        <w:rPr>
          <w:rStyle w:val="legendab1"/>
          <w:b/>
          <w:bCs/>
        </w:rPr>
      </w:pPr>
    </w:p>
    <w:p w:rsidR="004A7313" w:rsidRPr="00AB2977" w:rsidRDefault="004A7313" w:rsidP="004A7313">
      <w:pPr>
        <w:pStyle w:val="Ttulo1"/>
        <w:divId w:val="1532957550"/>
      </w:pPr>
      <w:r w:rsidRPr="00AB2977">
        <w:t>INSTRUÇÃO NORMATIVA N° 5, DE 28 DE DEZEMBRO DE 2012.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left="4253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 xml:space="preserve">Dispõe sobre os procedimentos para solicitar a inclusão, alteração ou exclusão de Denominações Comuns Brasileiras – DCB 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b/>
          <w:bCs/>
          <w:color w:val="auto"/>
          <w:sz w:val="20"/>
          <w:szCs w:val="20"/>
        </w:rPr>
        <w:t xml:space="preserve">A Diretoria Colegiada da Agência Nacional de Vigilância Sanitária, </w:t>
      </w:r>
      <w:r w:rsidRPr="00AB2977">
        <w:rPr>
          <w:color w:val="auto"/>
          <w:sz w:val="20"/>
          <w:szCs w:val="20"/>
        </w:rPr>
        <w:t>no uso da atribuição que lhe confere o art. 11, inciso IV, do Regulamento da Anvisa, aprovado pelo Decreto nº 3.029, de 16 de abril de 1999, e tendo em vista o disposto nos parágrafos 1° e 3° do art. 54 e no inciso II do art. 55 do Regimento Interno aprovado nos termos do Anexo I da Portaria n° 354 da ANVISA, de 11 de agosto de 2006, republicada no DOU de 21 de agosto de 2006, e tendo em vista a Resolução de Diretoria Colegiada - RDC nº. 63, de 28 de dezembro de 2012, publicada em 29 de dezembro de 2012, que dispõe sobre as regras utilizadas para a nomenclatura das Denominações Comuns Brasileiras – DCB, em reunião realizada em 18 de dezembro de 2012, adota a seguinte Instrução Normativa e eu, Diretor-Presidente, determino a sua publicação: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Art. 1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A proposta de inclusão, alteração ou exclusão de DCB deve ser submetida eletronicamente à Agência Nacional de Vigilância Sanitária - Anvisa por meio de formulário específico, presente no Anexo I.</w:t>
      </w:r>
    </w:p>
    <w:p w:rsidR="004A7313" w:rsidRPr="00AB2977" w:rsidRDefault="004A7313" w:rsidP="004A7313">
      <w:pPr>
        <w:ind w:firstLine="567"/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§ 1</w:t>
      </w:r>
      <w:r w:rsidRPr="00AB2977">
        <w:rPr>
          <w:rFonts w:ascii="Arial" w:hAnsi="Arial" w:cs="Arial"/>
          <w:sz w:val="20"/>
          <w:szCs w:val="20"/>
          <w:u w:val="single"/>
          <w:vertAlign w:val="superscript"/>
        </w:rPr>
        <w:t>º</w:t>
      </w:r>
      <w:r w:rsidRPr="00AB2977">
        <w:rPr>
          <w:rFonts w:ascii="Arial" w:hAnsi="Arial" w:cs="Arial"/>
          <w:sz w:val="20"/>
          <w:szCs w:val="20"/>
        </w:rPr>
        <w:t xml:space="preserve"> As instruções para preenchimento do formulário estão descritas no Anexo II e na página eletrônica da Anvisa/Farmacopeia Brasileira.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2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O arquivo eletrônico deve ser salvo com extensão “doc” ou “docx” e nomeado utilizando-se o principal nome ou parte do nome proposto para a substância a ser avaliada. 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3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O interessado deve enviar um correio eletrônico</w:t>
      </w:r>
      <w:r w:rsidRPr="00AB2977">
        <w:rPr>
          <w:b/>
          <w:color w:val="auto"/>
          <w:sz w:val="20"/>
          <w:szCs w:val="20"/>
        </w:rPr>
        <w:t xml:space="preserve"> para o endereço eletrônico dcb@anvisa.gov.br</w:t>
      </w:r>
      <w:r w:rsidRPr="00AB2977">
        <w:rPr>
          <w:color w:val="auto"/>
          <w:sz w:val="20"/>
          <w:szCs w:val="20"/>
        </w:rPr>
        <w:t xml:space="preserve">, com o formulário anexado à mensagem, identificando, no campo assunto, </w:t>
      </w:r>
      <w:r w:rsidRPr="00AB2977">
        <w:rPr>
          <w:b/>
          <w:bCs/>
          <w:color w:val="auto"/>
          <w:sz w:val="20"/>
          <w:szCs w:val="20"/>
        </w:rPr>
        <w:t>“</w:t>
      </w:r>
      <w:r w:rsidRPr="00AB2977">
        <w:rPr>
          <w:b/>
          <w:bCs/>
          <w:i/>
          <w:iCs/>
          <w:color w:val="auto"/>
          <w:sz w:val="20"/>
          <w:szCs w:val="20"/>
        </w:rPr>
        <w:t>Nova DCB</w:t>
      </w:r>
      <w:r w:rsidRPr="00AB2977">
        <w:rPr>
          <w:b/>
          <w:bCs/>
          <w:color w:val="auto"/>
          <w:sz w:val="20"/>
          <w:szCs w:val="20"/>
        </w:rPr>
        <w:t>”</w:t>
      </w:r>
      <w:r w:rsidRPr="00AB2977">
        <w:rPr>
          <w:color w:val="auto"/>
          <w:sz w:val="20"/>
          <w:szCs w:val="20"/>
        </w:rPr>
        <w:t xml:space="preserve">, </w:t>
      </w:r>
      <w:r w:rsidRPr="00AB2977">
        <w:rPr>
          <w:b/>
          <w:bCs/>
          <w:color w:val="auto"/>
          <w:sz w:val="20"/>
          <w:szCs w:val="20"/>
        </w:rPr>
        <w:t>“</w:t>
      </w:r>
      <w:r w:rsidRPr="00AB2977">
        <w:rPr>
          <w:b/>
          <w:bCs/>
          <w:i/>
          <w:iCs/>
          <w:color w:val="auto"/>
          <w:sz w:val="20"/>
          <w:szCs w:val="20"/>
        </w:rPr>
        <w:t>Alterar DCB</w:t>
      </w:r>
      <w:r w:rsidRPr="00AB2977">
        <w:rPr>
          <w:b/>
          <w:bCs/>
          <w:color w:val="auto"/>
          <w:sz w:val="20"/>
          <w:szCs w:val="20"/>
        </w:rPr>
        <w:t xml:space="preserve">” </w:t>
      </w:r>
      <w:r w:rsidRPr="00AB2977">
        <w:rPr>
          <w:color w:val="auto"/>
          <w:sz w:val="20"/>
          <w:szCs w:val="20"/>
        </w:rPr>
        <w:t xml:space="preserve">ou </w:t>
      </w:r>
      <w:r w:rsidRPr="00AB2977">
        <w:rPr>
          <w:b/>
          <w:bCs/>
          <w:color w:val="auto"/>
          <w:sz w:val="20"/>
          <w:szCs w:val="20"/>
        </w:rPr>
        <w:t>“</w:t>
      </w:r>
      <w:r w:rsidRPr="00AB2977">
        <w:rPr>
          <w:b/>
          <w:bCs/>
          <w:i/>
          <w:iCs/>
          <w:color w:val="auto"/>
          <w:sz w:val="20"/>
          <w:szCs w:val="20"/>
        </w:rPr>
        <w:t>Excluir DCB</w:t>
      </w:r>
      <w:r w:rsidRPr="00AB2977">
        <w:rPr>
          <w:b/>
          <w:bCs/>
          <w:color w:val="auto"/>
          <w:sz w:val="20"/>
          <w:szCs w:val="20"/>
        </w:rPr>
        <w:t>”</w:t>
      </w:r>
      <w:r w:rsidRPr="00AB2977">
        <w:rPr>
          <w:color w:val="auto"/>
          <w:sz w:val="20"/>
          <w:szCs w:val="20"/>
        </w:rPr>
        <w:t xml:space="preserve">, utilizando-se de uma mensagem eletrônica para cada substância a ser avaliada. 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4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Após o recebimento do e-mail, a Anvisa responderá com uma confirmação de leitura.</w:t>
      </w:r>
    </w:p>
    <w:p w:rsidR="004A7313" w:rsidRPr="00AB2977" w:rsidRDefault="004A7313" w:rsidP="004A7313">
      <w:pPr>
        <w:ind w:firstLine="567"/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Art. 2</w:t>
      </w:r>
      <w:r w:rsidRPr="00AB2977">
        <w:rPr>
          <w:rFonts w:ascii="Arial" w:hAnsi="Arial" w:cs="Arial"/>
          <w:sz w:val="20"/>
          <w:szCs w:val="20"/>
          <w:u w:val="single"/>
          <w:vertAlign w:val="superscript"/>
        </w:rPr>
        <w:t>º</w:t>
      </w:r>
      <w:r w:rsidRPr="00AB2977">
        <w:rPr>
          <w:rFonts w:ascii="Arial" w:hAnsi="Arial" w:cs="Arial"/>
          <w:sz w:val="20"/>
          <w:szCs w:val="20"/>
        </w:rPr>
        <w:t xml:space="preserve"> Os pedidos recebidos devem ser avaliados pelo CTT DCB – Comitê Técnico Temático Denominações Comuns Brasileiras da Farmacopeia Brasileira, que fará a apreciação e emissão do parecer final à Anvisa, em até 60 (sessenta) dias. </w:t>
      </w:r>
    </w:p>
    <w:p w:rsidR="004A7313" w:rsidRPr="00AB2977" w:rsidRDefault="004A7313" w:rsidP="004A7313">
      <w:pPr>
        <w:ind w:firstLine="567"/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§ 1</w:t>
      </w:r>
      <w:r w:rsidRPr="00AB2977">
        <w:rPr>
          <w:rFonts w:ascii="Arial" w:hAnsi="Arial" w:cs="Arial"/>
          <w:sz w:val="20"/>
          <w:szCs w:val="20"/>
          <w:u w:val="single"/>
          <w:vertAlign w:val="superscript"/>
        </w:rPr>
        <w:t>º</w:t>
      </w:r>
      <w:r w:rsidRPr="00AB2977">
        <w:rPr>
          <w:rFonts w:ascii="Arial" w:hAnsi="Arial" w:cs="Arial"/>
          <w:sz w:val="20"/>
          <w:szCs w:val="20"/>
        </w:rPr>
        <w:t xml:space="preserve"> O CTT DCB poderá consultar e solicitar recomendação de nomenclatura aos CTT específicos, que terão prazo de 45 (quarenta e cinco) dias para responder.</w:t>
      </w:r>
    </w:p>
    <w:p w:rsidR="004A7313" w:rsidRPr="00AB2977" w:rsidRDefault="004A7313" w:rsidP="004A7313">
      <w:pPr>
        <w:ind w:firstLine="567"/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§ 2</w:t>
      </w:r>
      <w:r w:rsidRPr="00AB2977">
        <w:rPr>
          <w:rFonts w:ascii="Arial" w:hAnsi="Arial" w:cs="Arial"/>
          <w:sz w:val="20"/>
          <w:szCs w:val="20"/>
          <w:u w:val="single"/>
          <w:vertAlign w:val="superscript"/>
        </w:rPr>
        <w:t>º</w:t>
      </w:r>
      <w:r w:rsidRPr="00AB2977">
        <w:rPr>
          <w:rFonts w:ascii="Arial" w:hAnsi="Arial" w:cs="Arial"/>
          <w:sz w:val="20"/>
          <w:szCs w:val="20"/>
        </w:rPr>
        <w:t xml:space="preserve"> A Anvisa comunicará, oportunamente, a decisão final à empresa.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b/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lastRenderedPageBreak/>
        <w:t>§ 3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No caso de substância cuja regra de nomenclatura não esteja ainda definida, o CTT DCB terá um prazo de até 90 (noventa) dias para avaliar o requerimento e emitir parecer</w:t>
      </w:r>
      <w:r w:rsidRPr="00AB2977">
        <w:rPr>
          <w:b/>
          <w:color w:val="auto"/>
          <w:sz w:val="20"/>
          <w:szCs w:val="20"/>
        </w:rPr>
        <w:t xml:space="preserve">. 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4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Caso as informações para a avaliação do requerimento sejam insuficientes, o CTT deve comunicar à Anvisa, que formulará exigência, por meio eletrônico, junto ao requerente. 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5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O requerente deve atender à exigência no prazo máximo de 30 (trinta) dias, contados a partir do recebimento da mensagem eletrônica. 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§ 6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Caso as exigências não sejam atendidas no prazo estabelecido no § 5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>, o requerimento será indeferido e arquivado.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Art. 3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A DCB proposta pelo requerente somente será deferida se estiver de acordo com as regras de nomenclatura e de tradução estabelecidas pela Farmacopeia Brasileira. 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Art. 4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A Anvisa e o CTT DCB atualizarão continuamente as listas das DCB existentes. 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Parágrafo único. A cada atualização da lista de DCB serão destacadas as inclusões, alterações e exclusões ocorridas no período.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Art. 5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Os casos omissos serão resolvidos pelo CTT DCB.</w:t>
      </w:r>
    </w:p>
    <w:p w:rsidR="004A7313" w:rsidRPr="00AB2977" w:rsidRDefault="004A7313" w:rsidP="004A7313">
      <w:pPr>
        <w:pStyle w:val="Default"/>
        <w:autoSpaceDE/>
        <w:autoSpaceDN/>
        <w:adjustRightInd/>
        <w:spacing w:before="100" w:beforeAutospacing="1" w:after="100" w:afterAutospacing="1"/>
        <w:ind w:firstLine="567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Art. 6</w:t>
      </w:r>
      <w:r w:rsidRPr="00AB2977">
        <w:rPr>
          <w:color w:val="auto"/>
          <w:sz w:val="20"/>
          <w:szCs w:val="20"/>
          <w:u w:val="single"/>
          <w:vertAlign w:val="superscript"/>
        </w:rPr>
        <w:t>º</w:t>
      </w:r>
      <w:r w:rsidRPr="00AB2977">
        <w:rPr>
          <w:color w:val="auto"/>
          <w:sz w:val="20"/>
          <w:szCs w:val="20"/>
        </w:rPr>
        <w:t xml:space="preserve"> Esta Instrução Normativa entra em vigor na data de sua publicação.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jc w:val="center"/>
        <w:divId w:val="1532957550"/>
        <w:rPr>
          <w:b/>
          <w:color w:val="auto"/>
          <w:sz w:val="20"/>
          <w:szCs w:val="20"/>
        </w:rPr>
      </w:pPr>
      <w:r w:rsidRPr="00AB2977">
        <w:rPr>
          <w:b/>
          <w:color w:val="auto"/>
          <w:sz w:val="20"/>
          <w:szCs w:val="20"/>
        </w:rPr>
        <w:t>DIRCEU BRÁS APARECIDO BARBANO</w:t>
      </w:r>
    </w:p>
    <w:p w:rsidR="004A7313" w:rsidRPr="00AB2977" w:rsidRDefault="004A7313" w:rsidP="004A7313">
      <w:pPr>
        <w:autoSpaceDE w:val="0"/>
        <w:autoSpaceDN w:val="0"/>
        <w:adjustRightInd w:val="0"/>
        <w:jc w:val="center"/>
        <w:divId w:val="1532957550"/>
        <w:rPr>
          <w:rFonts w:ascii="Arial" w:hAnsi="Arial" w:cs="Arial"/>
          <w:b/>
          <w:bCs/>
          <w:sz w:val="20"/>
          <w:szCs w:val="20"/>
        </w:rPr>
      </w:pPr>
      <w:r w:rsidRPr="00AB2977">
        <w:rPr>
          <w:rFonts w:ascii="Arial" w:hAnsi="Arial" w:cs="Arial"/>
          <w:b/>
          <w:bCs/>
          <w:sz w:val="20"/>
          <w:szCs w:val="20"/>
        </w:rPr>
        <w:t>ANEXO I - MODELO DE FORMULÁRIO PARA INCLUSÃO, ALTERAÇÃO OU EXCLUSÃO DE DENOMINAÇÃO COMUM BRASILEIRA – DCB</w:t>
      </w:r>
    </w:p>
    <w:p w:rsidR="004A7313" w:rsidRPr="00AB2977" w:rsidRDefault="00724F53" w:rsidP="004A7313">
      <w:pPr>
        <w:pStyle w:val="Default"/>
        <w:spacing w:before="100" w:beforeAutospacing="1" w:after="100" w:afterAutospacing="1"/>
        <w:jc w:val="center"/>
        <w:divId w:val="1532957550"/>
        <w:rPr>
          <w:b/>
          <w:bCs/>
          <w:color w:val="FF0000"/>
          <w:sz w:val="20"/>
          <w:szCs w:val="20"/>
        </w:rPr>
      </w:pPr>
      <w:r w:rsidRPr="00724F53">
        <w:rPr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6267450" cy="7934325"/>
            <wp:effectExtent l="0" t="0" r="0" b="0"/>
            <wp:docPr id="2" name="Imagem 2" descr="Descrição: C:\Users\pablo.pereira\Desktop\Fig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C:\Users\pablo.pereira\Desktop\Figur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13" w:rsidRPr="00AB2977" w:rsidRDefault="004A7313" w:rsidP="004A7313">
      <w:pPr>
        <w:pStyle w:val="Default"/>
        <w:spacing w:before="100" w:beforeAutospacing="1" w:after="100" w:afterAutospacing="1"/>
        <w:jc w:val="center"/>
        <w:divId w:val="1532957550"/>
        <w:rPr>
          <w:color w:val="auto"/>
          <w:sz w:val="20"/>
          <w:szCs w:val="20"/>
        </w:rPr>
      </w:pPr>
      <w:r w:rsidRPr="00AB2977">
        <w:rPr>
          <w:b/>
          <w:bCs/>
          <w:color w:val="auto"/>
          <w:sz w:val="20"/>
          <w:szCs w:val="20"/>
        </w:rPr>
        <w:t>ANEXO II - INSTRUÇÕES PARA O PREENCHIMENTO DO FORMULÁRIO PARA SOLICITAÇÃO, ALTERAÇÃO E EXCLUSÃO DE DCB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>Instruções para o preenchimento (todos os campos devem estar preenchidos).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jc w:val="both"/>
        <w:divId w:val="1532957550"/>
        <w:rPr>
          <w:color w:val="auto"/>
          <w:sz w:val="20"/>
          <w:szCs w:val="20"/>
        </w:rPr>
      </w:pPr>
      <w:r w:rsidRPr="00AB2977">
        <w:rPr>
          <w:b/>
          <w:bCs/>
          <w:color w:val="auto"/>
          <w:sz w:val="20"/>
          <w:szCs w:val="20"/>
        </w:rPr>
        <w:lastRenderedPageBreak/>
        <w:t xml:space="preserve">I. CAMPO 1 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b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1.1 Marcar a opção desejada: ( ) inclusão ( ) alteração ( ) exclusão</w:t>
      </w:r>
      <w:r w:rsidRPr="00AB2977">
        <w:rPr>
          <w:rFonts w:ascii="Arial" w:hAnsi="Arial" w:cs="Arial"/>
          <w:b/>
          <w:sz w:val="20"/>
          <w:szCs w:val="20"/>
        </w:rPr>
        <w:t>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Inclusão: quando o usuário desejar utilizar uma DCB nova, que ainda não conste da lista das DCB.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Alteração: quando o usuário detectar alguma possível inconsistência em algum dos campos da DCB ou na utilização das regras de nomenclatura.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Exclusão: quando for detectada duplicidade de DCB ou se referir a substância proscrita no Brasil.</w:t>
      </w:r>
    </w:p>
    <w:p w:rsidR="004A7313" w:rsidRPr="00AB2977" w:rsidRDefault="004A7313" w:rsidP="004A7313">
      <w:pPr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1.2 Marcar a categoria farmacêutica da substância: ( ) Fármaco ( ) Biológico ( ) Radiofármaco ( ) Planta medicinal ( ) Homeopático ( ) Excipiente ( ) Outro: especificar.</w:t>
      </w:r>
    </w:p>
    <w:p w:rsidR="004A7313" w:rsidRPr="00AB2977" w:rsidRDefault="004A7313" w:rsidP="004A7313">
      <w:pPr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E ainda, se a substância é sintética ou natural.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1.3 Dados da Instituição ou Empresa: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Preencher os campos: Nome; Endereço; Telefone (com DDD); Fax (com DDD); sítio eletrônico e o Endereço eletrônico do requerente.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1.4 Dados do Requerente: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Preencher o nome e o endereço eletrônico da pessoa de contato da empresa requerente.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b/>
          <w:sz w:val="20"/>
          <w:szCs w:val="20"/>
        </w:rPr>
      </w:pPr>
      <w:r w:rsidRPr="00AB2977">
        <w:rPr>
          <w:rFonts w:ascii="Arial" w:hAnsi="Arial" w:cs="Arial"/>
          <w:b/>
          <w:sz w:val="20"/>
          <w:szCs w:val="20"/>
        </w:rPr>
        <w:t>II. CAMPO 2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2.1 Nomes sugeridos, em ordem de preferência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Apresentar as sugestões de Denominação Comum Brasileira - DCB relacionada à substância que esteja sob pesquisa ou que se deseja introduzir no país. O nome sugerido deve atender às regras de nomenclatura estabelecidas em resolução específica.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No caso de insumos farmacêuticos ativos, a DCB é formada por um sistema morfológico que diz respeito a substâncias com características químicas, farmacológicas e terapêuticas semelhantes. Portanto, o nome sugerido deve incorporar radicais comuns. Utilizar a lista de radicais para fármacos adotada pela Farmacopeia Brasileira, divulgada no sitio eletrônico da Anvisa ou a lista publicada pela OMS. O requerente deve verificar a ausência de semelhanças com outra DCB ou nomes de marca, que possam causar confusão.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2.2 Nome químico e descrição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As informações químicas devem ser as mais completas e atualizadas. Dados sobre a estereoquímica devem ser incluídos, se conhecidos. O nome químico deverá estar de acordo com as regras de nomenclatura da </w:t>
      </w:r>
      <w:r w:rsidRPr="00AB2977">
        <w:rPr>
          <w:rFonts w:ascii="Arial" w:hAnsi="Arial" w:cs="Arial"/>
          <w:i/>
          <w:sz w:val="20"/>
          <w:szCs w:val="20"/>
        </w:rPr>
        <w:t>International Union of Pure and Applied Chemistry</w:t>
      </w:r>
      <w:r w:rsidRPr="00AB2977">
        <w:rPr>
          <w:rFonts w:ascii="Arial" w:hAnsi="Arial" w:cs="Arial"/>
          <w:sz w:val="20"/>
          <w:szCs w:val="20"/>
        </w:rPr>
        <w:t xml:space="preserve"> - IUPAC, como interpretado pelo </w:t>
      </w:r>
      <w:r w:rsidRPr="00AB2977">
        <w:rPr>
          <w:rFonts w:ascii="Arial" w:hAnsi="Arial" w:cs="Arial"/>
          <w:i/>
          <w:sz w:val="20"/>
          <w:szCs w:val="20"/>
        </w:rPr>
        <w:t>Chemical Abstracts Service</w:t>
      </w:r>
      <w:r w:rsidRPr="00AB2977">
        <w:rPr>
          <w:rFonts w:ascii="Arial" w:hAnsi="Arial" w:cs="Arial"/>
          <w:sz w:val="20"/>
          <w:szCs w:val="20"/>
        </w:rPr>
        <w:t xml:space="preserve"> - CAS.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 descrição é usada para identificar uma substância que é insuficientemente definida, para ser designada por um nome químico pela IUPAC e pelo CAS. Esta descrição será substituída pelo nome químico quando o fármaco for completamente caracterizado.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No caso de nomes de substâncias biológicas, plantas ou outro utilizar a descrição da planta ou outro material, de acordo com os compêndios adotados ou reconhecidos internacionalmente, para facilitar a sua caracterização.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lastRenderedPageBreak/>
        <w:t>2.3 Fórmula estrutural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 fórmula estrutural de substância química ou gráfica, quando for o caso, é necessária para relacionar o novo fármaco com substâncias existentes do mesmo grupo químico-farmacológico. A ausência da fórmula estrutural dificulta a identificação de uma DCB já existente.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2.4 Fórmula molecular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A fórmula molecular deve estar de acordo com a </w:t>
      </w:r>
      <w:r w:rsidRPr="00AB2977">
        <w:rPr>
          <w:rFonts w:ascii="Arial" w:hAnsi="Arial" w:cs="Arial"/>
          <w:i/>
          <w:sz w:val="20"/>
          <w:szCs w:val="20"/>
        </w:rPr>
        <w:t>International Union of Pure and Applied Chemistry</w:t>
      </w:r>
      <w:r w:rsidRPr="00AB2977">
        <w:rPr>
          <w:rFonts w:ascii="Arial" w:hAnsi="Arial" w:cs="Arial"/>
          <w:sz w:val="20"/>
          <w:szCs w:val="20"/>
        </w:rPr>
        <w:t xml:space="preserve"> - IUPAC, quando aplicável.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2.5 Número de registro no </w:t>
      </w:r>
      <w:r w:rsidRPr="00AB2977">
        <w:rPr>
          <w:rFonts w:ascii="Arial" w:hAnsi="Arial" w:cs="Arial"/>
          <w:i/>
          <w:sz w:val="20"/>
          <w:szCs w:val="20"/>
        </w:rPr>
        <w:t>Chemical Abstracts Service</w:t>
      </w:r>
      <w:r w:rsidRPr="00AB2977">
        <w:rPr>
          <w:rFonts w:ascii="Arial" w:hAnsi="Arial" w:cs="Arial"/>
          <w:sz w:val="20"/>
          <w:szCs w:val="20"/>
        </w:rPr>
        <w:t xml:space="preserve"> - CAS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Se uma substância já tiver o número de registro no CAS preencher a informação no formulário.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2.6 Qualquer outro nome ou código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A nova substância pode adquirir um nome usual, que é utilizado pelo laboratório e em literatura científica, antes de receber a DCB correspondente. Tais nomes devem ser informados nesse campo, mas não devem ser criados pelos produtores. O fato de um nome usual se tornar conhecido na literatura não irá assegurar sua adoção como DCB e pode apenas causar confusão quando uma DCB oficial é designada. Recomenda-se o uso de códigos antes da divulgação da DCB adotada, indicando-se no formulário como referência adicional. Informar também, se for o caso, outros códigos designados para a substância, adotados por entidades ou organizações internacionais.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No caso de plantas, informar nesse campo os nomes populares e outros códigos que possam contribuir para a avaliação.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2.7 Sinônimos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Caso a substância apresente nomes equivalentes ou sinônimos, estes deverão ser relacionados, assim como a referência de literatura científica utilizada. Nomes de uso comum ou popular também poderão ser citados neste campo, sendo que neste caso, deve-se fazer a indicação de que são de uso popular.  Vale ressaltar que os sinônimos não serão denominações oficiais válidas, servem apenas para facilitar a identificação da substância na lista oficial das DCB.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2.8 Nomes em inglês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Indicar os mais conhecidos e usuais, facilitando a sua identificação nas buscas.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2.9 Nome de marca 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Possuindo o insumo farmacêutico um nome de marca, esse deve ser informado no formulário.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2.10 Classificação terapêutica ou funcional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Deve-se informar o principal uso terapêutico e posologia, a ação farmacológica ou aplicação tecnológica ou a categoria funcional da substância, pois esta informação auxiliará na escolha da denominação.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A ação farmacológica deve ser explicada com a maior clareza possível. Provas pertinentes devem ser incluídas para apoiar a ação reivindicada. A terminologia utilizada deve se </w:t>
      </w:r>
      <w:r w:rsidRPr="00AB2977">
        <w:rPr>
          <w:rFonts w:ascii="Arial" w:hAnsi="Arial" w:cs="Arial"/>
          <w:sz w:val="20"/>
          <w:szCs w:val="20"/>
        </w:rPr>
        <w:lastRenderedPageBreak/>
        <w:t xml:space="preserve">basear nas referências adotadas nos principais compêndios ou na classificação </w:t>
      </w:r>
      <w:r w:rsidRPr="00AB2977">
        <w:rPr>
          <w:rFonts w:ascii="Arial" w:hAnsi="Arial" w:cs="Arial"/>
          <w:i/>
          <w:sz w:val="20"/>
          <w:szCs w:val="20"/>
        </w:rPr>
        <w:t>Anatomical Therapeutic Chemical</w:t>
      </w:r>
      <w:r w:rsidRPr="00AB2977">
        <w:rPr>
          <w:rFonts w:ascii="Arial" w:hAnsi="Arial" w:cs="Arial"/>
          <w:sz w:val="20"/>
          <w:szCs w:val="20"/>
        </w:rPr>
        <w:t xml:space="preserve"> - ATC da OMS.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Se a substância for inativa, informar a categoria funcional, propriedade tecnológica, aplicação ou qualquer outra propriedade relevante do material.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b/>
          <w:sz w:val="20"/>
          <w:szCs w:val="20"/>
        </w:rPr>
      </w:pPr>
      <w:r w:rsidRPr="00AB2977">
        <w:rPr>
          <w:rFonts w:ascii="Arial" w:hAnsi="Arial" w:cs="Arial"/>
          <w:b/>
          <w:sz w:val="20"/>
          <w:szCs w:val="20"/>
        </w:rPr>
        <w:t>III. CAMPO 3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 xml:space="preserve">Referências bibliográficas e comentários adicionais. </w:t>
      </w:r>
    </w:p>
    <w:p w:rsidR="004A7313" w:rsidRPr="00AB2977" w:rsidRDefault="004A7313" w:rsidP="004A7313">
      <w:pPr>
        <w:pStyle w:val="Default"/>
        <w:spacing w:before="100" w:beforeAutospacing="1" w:after="100" w:afterAutospacing="1"/>
        <w:jc w:val="both"/>
        <w:divId w:val="1532957550"/>
        <w:rPr>
          <w:color w:val="auto"/>
          <w:sz w:val="20"/>
          <w:szCs w:val="20"/>
        </w:rPr>
      </w:pPr>
      <w:r w:rsidRPr="00AB2977">
        <w:rPr>
          <w:color w:val="auto"/>
          <w:sz w:val="20"/>
          <w:szCs w:val="20"/>
        </w:rPr>
        <w:t xml:space="preserve">Neste campo devem ser citadas as referências bibliográficas e demais nomes ou codificação da substância em questão. Relacionar também os documentos encaminhados como anexo. No caso de pedido de alteração ou exclusão de nome, o requerente deverá justificar as razões de sua proposta. 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b/>
          <w:sz w:val="20"/>
          <w:szCs w:val="20"/>
        </w:rPr>
      </w:pPr>
      <w:r w:rsidRPr="00AB2977">
        <w:rPr>
          <w:rFonts w:ascii="Arial" w:hAnsi="Arial" w:cs="Arial"/>
          <w:b/>
          <w:sz w:val="20"/>
          <w:szCs w:val="20"/>
        </w:rPr>
        <w:t>IV. CAMPO 4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>Local e Data do pedido do requerente.</w:t>
      </w:r>
    </w:p>
    <w:p w:rsidR="004A7313" w:rsidRPr="00AB2977" w:rsidRDefault="004A7313" w:rsidP="004A7313">
      <w:pPr>
        <w:jc w:val="both"/>
        <w:divId w:val="1532957550"/>
        <w:rPr>
          <w:rFonts w:ascii="Arial" w:hAnsi="Arial" w:cs="Arial"/>
          <w:sz w:val="20"/>
          <w:szCs w:val="20"/>
        </w:rPr>
      </w:pPr>
      <w:r w:rsidRPr="00AB2977">
        <w:rPr>
          <w:rFonts w:ascii="Arial" w:hAnsi="Arial" w:cs="Arial"/>
          <w:sz w:val="20"/>
          <w:szCs w:val="20"/>
        </w:rPr>
        <w:t xml:space="preserve">Caso sejam necessárias informações adicionais, o requerente poderá utilizar uma das seguintes formas de contato com a Agência Nacional de Vigilância Sanitária - ANVISA. SIA Trecho 5, Área Especial 57 Bloco E - COFAR – Brasília/DF CEP 71.205-050 - Telefone: 61 3462-4123, Endereço eletrônico: </w:t>
      </w:r>
      <w:hyperlink r:id="rId7" w:history="1">
        <w:r w:rsidRPr="00AB2977">
          <w:rPr>
            <w:rStyle w:val="Hyperlink"/>
            <w:rFonts w:ascii="Arial" w:hAnsi="Arial" w:cs="Arial"/>
            <w:color w:val="auto"/>
            <w:sz w:val="20"/>
            <w:szCs w:val="20"/>
          </w:rPr>
          <w:t>dcb@anvisa.gov.br</w:t>
        </w:r>
      </w:hyperlink>
      <w:r w:rsidRPr="00AB2977">
        <w:rPr>
          <w:rFonts w:ascii="Arial" w:hAnsi="Arial" w:cs="Arial"/>
          <w:sz w:val="20"/>
          <w:szCs w:val="20"/>
        </w:rPr>
        <w:t>.</w:t>
      </w:r>
    </w:p>
    <w:p w:rsidR="00A53197" w:rsidRDefault="00A53197">
      <w:pPr>
        <w:spacing w:before="0" w:beforeAutospacing="0" w:after="0" w:afterAutospacing="0"/>
        <w:jc w:val="center"/>
        <w:divId w:val="1532957555"/>
        <w:rPr>
          <w:rFonts w:ascii="Verdana" w:hAnsi="Verdana"/>
          <w:b/>
          <w:bCs/>
          <w:color w:val="003366"/>
          <w:sz w:val="17"/>
          <w:szCs w:val="17"/>
        </w:rPr>
      </w:pPr>
      <w:hyperlink r:id="rId8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391360"/>
    <w:rsid w:val="004A7313"/>
    <w:rsid w:val="005F1756"/>
    <w:rsid w:val="00652E8A"/>
    <w:rsid w:val="00724F53"/>
    <w:rsid w:val="00771958"/>
    <w:rsid w:val="00867B72"/>
    <w:rsid w:val="008B7BC0"/>
    <w:rsid w:val="008D770F"/>
    <w:rsid w:val="00963BF1"/>
    <w:rsid w:val="00A53197"/>
    <w:rsid w:val="00A533A1"/>
    <w:rsid w:val="00AA72EF"/>
    <w:rsid w:val="00AB2977"/>
    <w:rsid w:val="00AF43E7"/>
    <w:rsid w:val="00B13D8C"/>
    <w:rsid w:val="00BC5F27"/>
    <w:rsid w:val="00BE676D"/>
    <w:rsid w:val="00C95A0B"/>
    <w:rsid w:val="00D221EC"/>
    <w:rsid w:val="00DF7C19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5755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55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755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329575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5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gov.br/saudeleg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cb@anvisa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1582</Words>
  <Characters>8545</Characters>
  <Application>Microsoft Office Word</Application>
  <DocSecurity>0</DocSecurity>
  <Lines>71</Lines>
  <Paragraphs>20</Paragraphs>
  <ScaleCrop>false</ScaleCrop>
  <Company>ANVISA</Company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2018-08-16T18:36:00Z</dcterms:created>
  <dcterms:modified xsi:type="dcterms:W3CDTF">2018-08-16T18:36:00Z</dcterms:modified>
</cp:coreProperties>
</file>