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402" w:rsidRDefault="00DA3402" w:rsidP="00B66467">
      <w:pPr>
        <w:pStyle w:val="Ttulo1"/>
        <w:spacing w:before="0" w:beforeAutospacing="0" w:after="200" w:afterAutospacing="0"/>
        <w:ind w:left="-567" w:right="-568"/>
        <w:rPr>
          <w:rFonts w:ascii="Times New Roman" w:hAnsi="Times New Roman" w:cs="Times New Roman"/>
          <w:sz w:val="24"/>
          <w:szCs w:val="24"/>
        </w:rPr>
      </w:pPr>
      <w:r w:rsidRPr="00B66467">
        <w:rPr>
          <w:rFonts w:ascii="Times New Roman" w:hAnsi="Times New Roman" w:cs="Times New Roman"/>
          <w:sz w:val="24"/>
          <w:szCs w:val="24"/>
        </w:rPr>
        <w:t>RESOLUÇÃO DA DIRE</w:t>
      </w:r>
      <w:r w:rsidR="00B66467">
        <w:rPr>
          <w:rFonts w:ascii="Times New Roman" w:hAnsi="Times New Roman" w:cs="Times New Roman"/>
          <w:sz w:val="24"/>
          <w:szCs w:val="24"/>
        </w:rPr>
        <w:t xml:space="preserve">TORIA COLEGIADA – RDC Nº 9, DE </w:t>
      </w:r>
      <w:r w:rsidRPr="00B66467">
        <w:rPr>
          <w:rFonts w:ascii="Times New Roman" w:hAnsi="Times New Roman" w:cs="Times New Roman"/>
          <w:sz w:val="24"/>
          <w:szCs w:val="24"/>
        </w:rPr>
        <w:t>6 DE MARÇO DE 2013</w:t>
      </w:r>
    </w:p>
    <w:p w:rsidR="00B66467" w:rsidRPr="00B66467" w:rsidRDefault="00B66467" w:rsidP="00B66467">
      <w:pPr>
        <w:pStyle w:val="Ttulo1"/>
        <w:spacing w:before="0" w:beforeAutospacing="0" w:after="200" w:afterAutospacing="0"/>
        <w:rPr>
          <w:rFonts w:ascii="Times New Roman" w:hAnsi="Times New Roman" w:cs="Times New Roman"/>
          <w:color w:val="0000FF"/>
          <w:sz w:val="24"/>
          <w:szCs w:val="24"/>
        </w:rPr>
      </w:pPr>
      <w:r w:rsidRPr="00B66467">
        <w:rPr>
          <w:rFonts w:ascii="Times New Roman" w:hAnsi="Times New Roman" w:cs="Times New Roman"/>
          <w:caps w:val="0"/>
          <w:color w:val="0000FF"/>
          <w:sz w:val="24"/>
          <w:szCs w:val="24"/>
        </w:rPr>
        <w:t>(Publicada no DOU nº 46, de 8 de março de 2013)</w:t>
      </w:r>
    </w:p>
    <w:p w:rsidR="00DA3402" w:rsidRPr="00B66467" w:rsidRDefault="00DA3402" w:rsidP="00B66467">
      <w:pPr>
        <w:spacing w:before="0" w:beforeAutospacing="0" w:after="200" w:afterAutospacing="0"/>
        <w:ind w:left="4248" w:right="-1"/>
        <w:jc w:val="both"/>
      </w:pPr>
      <w:r w:rsidRPr="00B66467">
        <w:t>Aprova a correção da terceira edição da Farmacopeia Homeopática Brasileira (FHB3), aprovada pela RDC nº 39 de 02 de setembro de 2011 e suas alterações, de acordo com a Errata nº 01 e dá outras providências.</w:t>
      </w:r>
    </w:p>
    <w:p w:rsidR="00DA3402" w:rsidRPr="00B66467" w:rsidRDefault="00DA3402" w:rsidP="00B66467">
      <w:pPr>
        <w:spacing w:before="0" w:beforeAutospacing="0" w:after="200" w:afterAutospacing="0"/>
        <w:ind w:firstLine="567"/>
        <w:jc w:val="both"/>
      </w:pPr>
      <w:r w:rsidRPr="00B66467">
        <w:rPr>
          <w:color w:val="000000" w:themeColor="text1"/>
        </w:rPr>
        <w:t xml:space="preserve">A </w:t>
      </w:r>
      <w:r w:rsidRPr="00B66467">
        <w:rPr>
          <w:bCs/>
          <w:color w:val="000000" w:themeColor="text1"/>
        </w:rPr>
        <w:t>Diretoria Colegiada da Agência Nacional de Vigilância Sanitária</w:t>
      </w:r>
      <w:r w:rsidRPr="00B66467">
        <w:rPr>
          <w:color w:val="000000" w:themeColor="text1"/>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21 de fevereiro de 2013, adota a seguinte Resolução</w:t>
      </w:r>
      <w:r w:rsidRPr="00B66467">
        <w:t xml:space="preserve"> da Diretoria Colegiada e eu, Diretor-Presidente , determino a sua publicação:</w:t>
      </w:r>
    </w:p>
    <w:p w:rsidR="00DA3402" w:rsidRPr="00B66467" w:rsidRDefault="00DA3402" w:rsidP="00B66467">
      <w:pPr>
        <w:spacing w:before="0" w:beforeAutospacing="0" w:after="200" w:afterAutospacing="0"/>
        <w:ind w:firstLine="567"/>
        <w:jc w:val="both"/>
      </w:pPr>
      <w:r w:rsidRPr="00B66467">
        <w:t>Art. 1º Fica aprovada a correção da terceira edição da Farmacopeia Homeopática Brasileira (FHB3) de acordo com a Errata nº 01.</w:t>
      </w:r>
    </w:p>
    <w:p w:rsidR="00DA3402" w:rsidRPr="00B66467" w:rsidRDefault="00DA3402" w:rsidP="00B66467">
      <w:pPr>
        <w:spacing w:before="0" w:beforeAutospacing="0" w:after="200" w:afterAutospacing="0"/>
        <w:ind w:firstLine="567"/>
        <w:jc w:val="both"/>
      </w:pPr>
      <w:r w:rsidRPr="00B66467">
        <w:t>Art. 2º A Errata nº 01 ficará disponibilizada no sítio eletrônico da ANVISA.</w:t>
      </w:r>
    </w:p>
    <w:p w:rsidR="00DA3402" w:rsidRPr="00B66467" w:rsidRDefault="00DA3402" w:rsidP="00B66467">
      <w:pPr>
        <w:spacing w:before="0" w:beforeAutospacing="0" w:after="200" w:afterAutospacing="0"/>
        <w:ind w:firstLine="567"/>
        <w:jc w:val="both"/>
      </w:pPr>
      <w:r w:rsidRPr="00B66467">
        <w:t>Art. 3º Esta Resolução de Diretoria Colegiada entra em vigor na data de sua publicação.</w:t>
      </w:r>
    </w:p>
    <w:p w:rsidR="00DA3402" w:rsidRDefault="00DA3402" w:rsidP="00B66467">
      <w:pPr>
        <w:pStyle w:val="Ttulo2"/>
        <w:spacing w:before="0" w:beforeAutospacing="0" w:after="200" w:afterAutospacing="0"/>
        <w:rPr>
          <w:rFonts w:ascii="Times New Roman" w:hAnsi="Times New Roman" w:cs="Times New Roman"/>
          <w:sz w:val="24"/>
          <w:szCs w:val="24"/>
        </w:rPr>
      </w:pPr>
      <w:r w:rsidRPr="00B66467">
        <w:rPr>
          <w:rFonts w:ascii="Times New Roman" w:hAnsi="Times New Roman" w:cs="Times New Roman"/>
          <w:sz w:val="24"/>
          <w:szCs w:val="24"/>
        </w:rPr>
        <w:t>DIRCEU BRÁS APARECIDO BARBANO</w:t>
      </w:r>
    </w:p>
    <w:p w:rsidR="00B66467" w:rsidRPr="00B66467" w:rsidRDefault="00B66467" w:rsidP="00B66467">
      <w:pPr>
        <w:pStyle w:val="Ttulo2"/>
        <w:spacing w:before="0" w:beforeAutospacing="0" w:after="200" w:afterAutospacing="0"/>
        <w:rPr>
          <w:rFonts w:ascii="Times New Roman" w:hAnsi="Times New Roman" w:cs="Times New Roman"/>
          <w:sz w:val="24"/>
          <w:szCs w:val="24"/>
        </w:rPr>
      </w:pP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3"/>
        <w:gridCol w:w="2290"/>
        <w:gridCol w:w="2070"/>
        <w:gridCol w:w="3743"/>
      </w:tblGrid>
      <w:tr w:rsidR="00DA3402" w:rsidRPr="00B66467" w:rsidTr="00B66467">
        <w:trPr>
          <w:jc w:val="center"/>
        </w:trPr>
        <w:tc>
          <w:tcPr>
            <w:tcW w:w="8641" w:type="dxa"/>
            <w:gridSpan w:val="4"/>
          </w:tcPr>
          <w:p w:rsidR="00DA3402" w:rsidRPr="00B66467" w:rsidRDefault="00DA3402" w:rsidP="00750327">
            <w:pPr>
              <w:spacing w:after="0"/>
              <w:ind w:left="-113" w:right="-567"/>
              <w:jc w:val="center"/>
              <w:rPr>
                <w:b/>
              </w:rPr>
            </w:pPr>
            <w:r w:rsidRPr="00B66467">
              <w:rPr>
                <w:b/>
              </w:rPr>
              <w:t>ERRATA N° 01 – FHB 3</w:t>
            </w:r>
          </w:p>
        </w:tc>
      </w:tr>
      <w:tr w:rsidR="00DA3402" w:rsidRPr="00B66467" w:rsidTr="00B66467">
        <w:trPr>
          <w:jc w:val="center"/>
        </w:trPr>
        <w:tc>
          <w:tcPr>
            <w:tcW w:w="8641" w:type="dxa"/>
            <w:gridSpan w:val="4"/>
          </w:tcPr>
          <w:p w:rsidR="00DA3402" w:rsidRPr="00B66467" w:rsidRDefault="00DA3402" w:rsidP="00750327">
            <w:pPr>
              <w:spacing w:after="0"/>
              <w:jc w:val="both"/>
            </w:pPr>
            <w:r w:rsidRPr="00B66467">
              <w:t xml:space="preserve">A seguir, é apresentada a Errata para a Farmacopeia Homeopática Brasileira, 3ª edição. Estão relacionados o número da página onde o erro foi identificado, o nome do texto </w:t>
            </w:r>
            <w:bookmarkStart w:id="0" w:name="_GoBack"/>
            <w:bookmarkEnd w:id="0"/>
            <w:r w:rsidRPr="00B66467">
              <w:t xml:space="preserve">principal, a seção desse e a descrição do que deve ser modificado. Periodicamente, consultar a página da FB no portal da Anvisa (www.anvisa.gov.br), para atualizações. </w:t>
            </w:r>
          </w:p>
          <w:p w:rsidR="00DA3402" w:rsidRPr="00B66467" w:rsidRDefault="00DA3402" w:rsidP="00750327">
            <w:pPr>
              <w:spacing w:after="0"/>
              <w:jc w:val="center"/>
              <w:rPr>
                <w:b/>
              </w:rPr>
            </w:pPr>
          </w:p>
        </w:tc>
      </w:tr>
      <w:tr w:rsidR="00DA3402" w:rsidRPr="00B66467" w:rsidTr="00B66467">
        <w:trPr>
          <w:jc w:val="center"/>
        </w:trPr>
        <w:tc>
          <w:tcPr>
            <w:tcW w:w="794" w:type="dxa"/>
          </w:tcPr>
          <w:p w:rsidR="00DA3402" w:rsidRPr="00B66467" w:rsidRDefault="00DA3402" w:rsidP="00750327">
            <w:pPr>
              <w:spacing w:after="0"/>
              <w:jc w:val="center"/>
              <w:rPr>
                <w:b/>
              </w:rPr>
            </w:pPr>
            <w:r w:rsidRPr="00B66467">
              <w:rPr>
                <w:b/>
              </w:rPr>
              <w:t>Pág.</w:t>
            </w:r>
          </w:p>
        </w:tc>
        <w:tc>
          <w:tcPr>
            <w:tcW w:w="2219" w:type="dxa"/>
          </w:tcPr>
          <w:p w:rsidR="00DA3402" w:rsidRPr="00B66467" w:rsidRDefault="00DA3402" w:rsidP="00750327">
            <w:pPr>
              <w:spacing w:after="0"/>
              <w:jc w:val="center"/>
              <w:rPr>
                <w:b/>
              </w:rPr>
            </w:pPr>
            <w:r w:rsidRPr="00B66467">
              <w:rPr>
                <w:b/>
              </w:rPr>
              <w:t>Texto</w:t>
            </w:r>
          </w:p>
        </w:tc>
        <w:tc>
          <w:tcPr>
            <w:tcW w:w="2006" w:type="dxa"/>
          </w:tcPr>
          <w:p w:rsidR="00DA3402" w:rsidRPr="00B66467" w:rsidRDefault="00DA3402" w:rsidP="00750327">
            <w:pPr>
              <w:spacing w:after="0"/>
              <w:jc w:val="center"/>
              <w:rPr>
                <w:b/>
              </w:rPr>
            </w:pPr>
            <w:r w:rsidRPr="00B66467">
              <w:rPr>
                <w:b/>
              </w:rPr>
              <w:t>Seção</w:t>
            </w:r>
          </w:p>
        </w:tc>
        <w:tc>
          <w:tcPr>
            <w:tcW w:w="3622" w:type="dxa"/>
          </w:tcPr>
          <w:p w:rsidR="00DA3402" w:rsidRPr="00B66467" w:rsidRDefault="00DA3402" w:rsidP="00750327">
            <w:pPr>
              <w:spacing w:after="0"/>
              <w:jc w:val="center"/>
              <w:rPr>
                <w:b/>
              </w:rPr>
            </w:pPr>
            <w:r w:rsidRPr="00B66467">
              <w:rPr>
                <w:b/>
              </w:rPr>
              <w:t>Descrição</w:t>
            </w:r>
          </w:p>
        </w:tc>
      </w:tr>
      <w:tr w:rsidR="00DA3402" w:rsidRPr="00B66467" w:rsidTr="00B66467">
        <w:trPr>
          <w:trHeight w:val="756"/>
          <w:jc w:val="center"/>
        </w:trPr>
        <w:tc>
          <w:tcPr>
            <w:tcW w:w="794" w:type="dxa"/>
            <w:vMerge w:val="restart"/>
          </w:tcPr>
          <w:p w:rsidR="00DA3402" w:rsidRPr="00B66467" w:rsidRDefault="00DA3402" w:rsidP="00750327">
            <w:pPr>
              <w:spacing w:after="0"/>
            </w:pPr>
            <w:r w:rsidRPr="00B66467">
              <w:t>08</w:t>
            </w:r>
          </w:p>
        </w:tc>
        <w:tc>
          <w:tcPr>
            <w:tcW w:w="2219" w:type="dxa"/>
            <w:vMerge w:val="restart"/>
          </w:tcPr>
          <w:p w:rsidR="00DA3402" w:rsidRPr="00B66467" w:rsidRDefault="00DA3402" w:rsidP="00750327">
            <w:pPr>
              <w:spacing w:after="0"/>
              <w:rPr>
                <w:bCs/>
              </w:rPr>
            </w:pPr>
            <w:proofErr w:type="gramStart"/>
            <w:r w:rsidRPr="00B66467">
              <w:rPr>
                <w:bCs/>
              </w:rPr>
              <w:t>2  HISTÓRICO</w:t>
            </w:r>
            <w:proofErr w:type="gramEnd"/>
          </w:p>
        </w:tc>
        <w:tc>
          <w:tcPr>
            <w:tcW w:w="2006" w:type="dxa"/>
            <w:vMerge w:val="restart"/>
          </w:tcPr>
          <w:p w:rsidR="00DA3402" w:rsidRPr="00B66467" w:rsidRDefault="00DA3402" w:rsidP="00750327">
            <w:pPr>
              <w:spacing w:after="0"/>
              <w:rPr>
                <w:b/>
              </w:rPr>
            </w:pPr>
            <w:r w:rsidRPr="00B66467">
              <w:rPr>
                <w:b/>
                <w:bCs/>
              </w:rPr>
              <w:t>(3º parágrafo)</w:t>
            </w:r>
          </w:p>
        </w:tc>
        <w:tc>
          <w:tcPr>
            <w:tcW w:w="3622" w:type="dxa"/>
            <w:tcBorders>
              <w:bottom w:val="nil"/>
            </w:tcBorders>
          </w:tcPr>
          <w:p w:rsidR="00DA3402" w:rsidRPr="00B66467" w:rsidRDefault="00DA3402" w:rsidP="00750327">
            <w:pPr>
              <w:spacing w:after="0"/>
              <w:jc w:val="both"/>
              <w:rPr>
                <w:b/>
              </w:rPr>
            </w:pPr>
            <w:r w:rsidRPr="00B66467">
              <w:rPr>
                <w:b/>
              </w:rPr>
              <w:t xml:space="preserve">Onde se lê:  </w:t>
            </w:r>
            <w:r w:rsidRPr="00B66467">
              <w:t>“</w:t>
            </w:r>
            <w:proofErr w:type="gramStart"/>
            <w:r w:rsidRPr="00B66467">
              <w:t>(...)</w:t>
            </w:r>
            <w:proofErr w:type="gramEnd"/>
            <w:r w:rsidRPr="00B66467">
              <w:t xml:space="preserve"> Portanto, a Homeopatia é uma ciência que atende, desde o ano de 1790 aos critérios científicos, (...)”</w:t>
            </w:r>
          </w:p>
        </w:tc>
      </w:tr>
      <w:tr w:rsidR="00DA3402" w:rsidRPr="00B66467" w:rsidTr="00B66467">
        <w:trPr>
          <w:trHeight w:val="538"/>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bCs/>
              </w:rPr>
            </w:pPr>
          </w:p>
        </w:tc>
        <w:tc>
          <w:tcPr>
            <w:tcW w:w="3622" w:type="dxa"/>
            <w:tcBorders>
              <w:top w:val="nil"/>
            </w:tcBorders>
          </w:tcPr>
          <w:p w:rsidR="00DA3402" w:rsidRPr="00B66467" w:rsidRDefault="00DA3402" w:rsidP="00750327">
            <w:pPr>
              <w:spacing w:after="0"/>
              <w:jc w:val="both"/>
              <w:rPr>
                <w:b/>
              </w:rPr>
            </w:pPr>
            <w:r w:rsidRPr="00B66467">
              <w:rPr>
                <w:b/>
              </w:rPr>
              <w:t>Leia-se:</w:t>
            </w:r>
            <w:r w:rsidRPr="00B66467">
              <w:t xml:space="preserve"> “</w:t>
            </w:r>
            <w:proofErr w:type="gramStart"/>
            <w:r w:rsidRPr="00B66467">
              <w:t>(...)</w:t>
            </w:r>
            <w:proofErr w:type="gramEnd"/>
            <w:r w:rsidRPr="00B66467">
              <w:t xml:space="preserve"> Portanto, a Homeopatia é uma ciência que </w:t>
            </w:r>
            <w:r w:rsidRPr="00B66467">
              <w:lastRenderedPageBreak/>
              <w:t>atende, desde o ano de 1796 aos critérios científicos, (...)”</w:t>
            </w:r>
          </w:p>
        </w:tc>
      </w:tr>
      <w:tr w:rsidR="00DA3402" w:rsidRPr="00B66467" w:rsidTr="00B66467">
        <w:trPr>
          <w:trHeight w:val="765"/>
          <w:jc w:val="center"/>
        </w:trPr>
        <w:tc>
          <w:tcPr>
            <w:tcW w:w="794" w:type="dxa"/>
            <w:vMerge w:val="restart"/>
          </w:tcPr>
          <w:p w:rsidR="00DA3402" w:rsidRPr="00B66467" w:rsidRDefault="00DA3402" w:rsidP="00750327">
            <w:pPr>
              <w:spacing w:after="0"/>
            </w:pPr>
            <w:r w:rsidRPr="00B66467">
              <w:lastRenderedPageBreak/>
              <w:t>17</w:t>
            </w:r>
          </w:p>
        </w:tc>
        <w:tc>
          <w:tcPr>
            <w:tcW w:w="2219" w:type="dxa"/>
            <w:vMerge w:val="restart"/>
          </w:tcPr>
          <w:p w:rsidR="00DA3402" w:rsidRPr="00B66467" w:rsidRDefault="00DA3402" w:rsidP="00750327">
            <w:pPr>
              <w:spacing w:after="0"/>
              <w:rPr>
                <w:bCs/>
              </w:rPr>
            </w:pPr>
            <w:r w:rsidRPr="00B66467">
              <w:rPr>
                <w:bCs/>
              </w:rPr>
              <w:t>5 GENERALIDADES</w:t>
            </w:r>
          </w:p>
          <w:p w:rsidR="00DA3402" w:rsidRPr="00B66467" w:rsidRDefault="00DA3402" w:rsidP="00750327">
            <w:pPr>
              <w:spacing w:after="0"/>
              <w:rPr>
                <w:bCs/>
                <w:i/>
              </w:rPr>
            </w:pPr>
            <w:r w:rsidRPr="00B66467">
              <w:rPr>
                <w:bCs/>
              </w:rPr>
              <w:t>5.1 CONCEITOS E DEFINIÇÕES</w:t>
            </w:r>
          </w:p>
        </w:tc>
        <w:tc>
          <w:tcPr>
            <w:tcW w:w="2006" w:type="dxa"/>
            <w:vMerge w:val="restart"/>
          </w:tcPr>
          <w:p w:rsidR="00DA3402" w:rsidRPr="00B66467" w:rsidRDefault="00DA3402" w:rsidP="00750327">
            <w:pPr>
              <w:spacing w:after="0"/>
              <w:rPr>
                <w:b/>
              </w:rPr>
            </w:pPr>
            <w:r w:rsidRPr="00B66467">
              <w:rPr>
                <w:bCs/>
                <w:i/>
              </w:rPr>
              <w:t>Escala</w:t>
            </w:r>
          </w:p>
        </w:tc>
        <w:tc>
          <w:tcPr>
            <w:tcW w:w="3622" w:type="dxa"/>
            <w:tcBorders>
              <w:bottom w:val="nil"/>
            </w:tcBorders>
          </w:tcPr>
          <w:p w:rsidR="00DA3402" w:rsidRPr="00B66467" w:rsidRDefault="00DA3402" w:rsidP="00750327">
            <w:pPr>
              <w:autoSpaceDE w:val="0"/>
              <w:autoSpaceDN w:val="0"/>
              <w:adjustRightInd w:val="0"/>
              <w:spacing w:after="0"/>
              <w:jc w:val="both"/>
              <w:rPr>
                <w:b/>
              </w:rPr>
            </w:pPr>
            <w:r w:rsidRPr="00B66467">
              <w:rPr>
                <w:b/>
              </w:rPr>
              <w:t xml:space="preserve">Onde se lê: </w:t>
            </w:r>
            <w:r w:rsidRPr="00B66467">
              <w:t>“É a proporção entre o insumo ativo e o insumo inerte empregada na preparação das diferentes dinamizações. As formas farmacêuticas</w:t>
            </w:r>
          </w:p>
        </w:tc>
      </w:tr>
      <w:tr w:rsidR="00DA3402" w:rsidRPr="00B66467" w:rsidTr="00B66467">
        <w:trPr>
          <w:trHeight w:val="556"/>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Cs/>
                <w:i/>
              </w:rPr>
            </w:pPr>
          </w:p>
        </w:tc>
        <w:tc>
          <w:tcPr>
            <w:tcW w:w="3622" w:type="dxa"/>
            <w:tcBorders>
              <w:top w:val="nil"/>
              <w:bottom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derivadas</w:t>
            </w:r>
            <w:proofErr w:type="gramEnd"/>
            <w:r w:rsidRPr="00B66467">
              <w:t xml:space="preserve"> são preparadas segundo as escalas </w:t>
            </w:r>
            <w:r w:rsidRPr="00B66467">
              <w:rPr>
                <w:i/>
              </w:rPr>
              <w:t>Centesimal</w:t>
            </w:r>
            <w:r w:rsidRPr="00B66467">
              <w:t xml:space="preserve">, </w:t>
            </w:r>
            <w:r w:rsidRPr="00B66467">
              <w:rPr>
                <w:i/>
              </w:rPr>
              <w:t>Decimal</w:t>
            </w:r>
            <w:r w:rsidRPr="00B66467">
              <w:t xml:space="preserve"> e </w:t>
            </w:r>
            <w:r w:rsidRPr="00B66467">
              <w:rPr>
                <w:i/>
              </w:rPr>
              <w:t xml:space="preserve">Cinquenta </w:t>
            </w:r>
            <w:proofErr w:type="spellStart"/>
            <w:r w:rsidRPr="00B66467">
              <w:rPr>
                <w:i/>
              </w:rPr>
              <w:t>milesimal</w:t>
            </w:r>
            <w:proofErr w:type="spellEnd"/>
            <w:r w:rsidRPr="00B66467">
              <w:t>:</w:t>
            </w:r>
            <w:r w:rsidRPr="00B66467">
              <w:rPr>
                <w:i/>
                <w:iCs/>
              </w:rPr>
              <w:t xml:space="preserve"> </w:t>
            </w:r>
            <w:r w:rsidRPr="00B66467">
              <w:t>”</w:t>
            </w:r>
          </w:p>
        </w:tc>
      </w:tr>
      <w:tr w:rsidR="00DA3402" w:rsidRPr="00B66467" w:rsidTr="00B66467">
        <w:trPr>
          <w:trHeight w:val="547"/>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Cs/>
                <w:i/>
              </w:rPr>
            </w:pPr>
          </w:p>
        </w:tc>
        <w:tc>
          <w:tcPr>
            <w:tcW w:w="3622" w:type="dxa"/>
            <w:tcBorders>
              <w:top w:val="nil"/>
              <w:bottom w:val="nil"/>
            </w:tcBorders>
          </w:tcPr>
          <w:p w:rsidR="00DA3402" w:rsidRPr="00B66467" w:rsidRDefault="00DA3402" w:rsidP="00750327">
            <w:pPr>
              <w:spacing w:after="0"/>
              <w:jc w:val="both"/>
            </w:pPr>
            <w:r w:rsidRPr="00B66467">
              <w:rPr>
                <w:b/>
              </w:rPr>
              <w:t xml:space="preserve">Leia-se: </w:t>
            </w:r>
            <w:r w:rsidRPr="00B66467">
              <w:t>“É a proporção entre o insumo ativo e o insumo inerte empregada na preparação das diferentes dinamizações.</w:t>
            </w:r>
          </w:p>
        </w:tc>
      </w:tr>
      <w:tr w:rsidR="00DA3402" w:rsidRPr="00B66467" w:rsidTr="00B66467">
        <w:trPr>
          <w:trHeight w:val="738"/>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Cs/>
                <w:i/>
              </w:rPr>
            </w:pPr>
          </w:p>
        </w:tc>
        <w:tc>
          <w:tcPr>
            <w:tcW w:w="3622" w:type="dxa"/>
            <w:tcBorders>
              <w:top w:val="nil"/>
            </w:tcBorders>
          </w:tcPr>
          <w:p w:rsidR="00DA3402" w:rsidRPr="00B66467" w:rsidRDefault="00DA3402" w:rsidP="00750327">
            <w:pPr>
              <w:spacing w:after="0"/>
              <w:jc w:val="both"/>
              <w:rPr>
                <w:b/>
              </w:rPr>
            </w:pPr>
            <w:r w:rsidRPr="00B66467">
              <w:t xml:space="preserve"> As formas farmacêuticas derivadas são preparadas segundo as escalas </w:t>
            </w:r>
            <w:r w:rsidRPr="00B66467">
              <w:rPr>
                <w:i/>
              </w:rPr>
              <w:t>Centesimal</w:t>
            </w:r>
            <w:r w:rsidRPr="00B66467">
              <w:t xml:space="preserve">, </w:t>
            </w:r>
            <w:r w:rsidRPr="00B66467">
              <w:rPr>
                <w:i/>
              </w:rPr>
              <w:t>Decimal</w:t>
            </w:r>
            <w:r w:rsidRPr="00B66467">
              <w:t xml:space="preserve"> e </w:t>
            </w:r>
            <w:r w:rsidRPr="00B66467">
              <w:rPr>
                <w:i/>
              </w:rPr>
              <w:t xml:space="preserve">Cinquenta </w:t>
            </w:r>
            <w:proofErr w:type="spellStart"/>
            <w:proofErr w:type="gramStart"/>
            <w:r w:rsidRPr="00B66467">
              <w:rPr>
                <w:i/>
              </w:rPr>
              <w:t>milesimal</w:t>
            </w:r>
            <w:proofErr w:type="spellEnd"/>
            <w:r w:rsidRPr="00B66467">
              <w:rPr>
                <w:i/>
              </w:rPr>
              <w:t>;</w:t>
            </w:r>
            <w:r w:rsidRPr="00B66467">
              <w:t>”</w:t>
            </w:r>
            <w:proofErr w:type="gramEnd"/>
          </w:p>
        </w:tc>
      </w:tr>
      <w:tr w:rsidR="00DA3402" w:rsidRPr="00B66467" w:rsidTr="00B66467">
        <w:trPr>
          <w:trHeight w:val="711"/>
          <w:jc w:val="center"/>
        </w:trPr>
        <w:tc>
          <w:tcPr>
            <w:tcW w:w="794" w:type="dxa"/>
            <w:vMerge w:val="restart"/>
          </w:tcPr>
          <w:p w:rsidR="00DA3402" w:rsidRPr="00B66467" w:rsidRDefault="00DA3402" w:rsidP="00750327">
            <w:pPr>
              <w:spacing w:after="0"/>
            </w:pPr>
            <w:r w:rsidRPr="00B66467">
              <w:t>17</w:t>
            </w:r>
          </w:p>
        </w:tc>
        <w:tc>
          <w:tcPr>
            <w:tcW w:w="2219" w:type="dxa"/>
            <w:vMerge w:val="restart"/>
          </w:tcPr>
          <w:p w:rsidR="00DA3402" w:rsidRPr="00B66467" w:rsidRDefault="00DA3402" w:rsidP="00750327">
            <w:pPr>
              <w:spacing w:after="0"/>
              <w:rPr>
                <w:bCs/>
              </w:rPr>
            </w:pPr>
            <w:r w:rsidRPr="00B66467">
              <w:rPr>
                <w:bCs/>
              </w:rPr>
              <w:t>5 GENERALIDADES</w:t>
            </w:r>
          </w:p>
          <w:p w:rsidR="00DA3402" w:rsidRPr="00B66467" w:rsidRDefault="00DA3402" w:rsidP="00750327">
            <w:pPr>
              <w:spacing w:after="0"/>
              <w:rPr>
                <w:bCs/>
                <w:i/>
              </w:rPr>
            </w:pPr>
            <w:r w:rsidRPr="00B66467">
              <w:rPr>
                <w:bCs/>
              </w:rPr>
              <w:t>5.1 CONCEITOS E DEFINIÇÕES</w:t>
            </w:r>
          </w:p>
        </w:tc>
        <w:tc>
          <w:tcPr>
            <w:tcW w:w="2006" w:type="dxa"/>
            <w:vMerge w:val="restart"/>
          </w:tcPr>
          <w:p w:rsidR="00DA3402" w:rsidRPr="00B66467" w:rsidRDefault="00DA3402" w:rsidP="00750327">
            <w:pPr>
              <w:spacing w:after="0"/>
              <w:rPr>
                <w:b/>
              </w:rPr>
            </w:pPr>
            <w:r w:rsidRPr="00B66467">
              <w:rPr>
                <w:bCs/>
                <w:i/>
              </w:rPr>
              <w:t>Tintura-mãe</w:t>
            </w:r>
          </w:p>
        </w:tc>
        <w:tc>
          <w:tcPr>
            <w:tcW w:w="3622" w:type="dxa"/>
            <w:tcBorders>
              <w:bottom w:val="nil"/>
            </w:tcBorders>
          </w:tcPr>
          <w:p w:rsidR="00DA3402" w:rsidRPr="00B66467" w:rsidRDefault="00DA3402" w:rsidP="00750327">
            <w:pPr>
              <w:autoSpaceDE w:val="0"/>
              <w:autoSpaceDN w:val="0"/>
              <w:adjustRightInd w:val="0"/>
              <w:spacing w:after="0"/>
              <w:jc w:val="both"/>
            </w:pPr>
            <w:r w:rsidRPr="00B66467">
              <w:rPr>
                <w:b/>
              </w:rPr>
              <w:t xml:space="preserve">Onde se lê: </w:t>
            </w:r>
            <w:r w:rsidRPr="00B66467">
              <w:t>“É preparação líquida resultante da ação de líquido extrator adequado sobre uma determinada droga de origem animal ou vegetal. ”</w:t>
            </w:r>
          </w:p>
        </w:tc>
      </w:tr>
      <w:tr w:rsidR="00DA3402" w:rsidRPr="00B66467" w:rsidTr="00B66467">
        <w:trPr>
          <w:trHeight w:val="756"/>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Cs/>
                <w:i/>
              </w:rPr>
            </w:pPr>
          </w:p>
        </w:tc>
        <w:tc>
          <w:tcPr>
            <w:tcW w:w="3622" w:type="dxa"/>
            <w:tcBorders>
              <w:top w:val="nil"/>
            </w:tcBorders>
          </w:tcPr>
          <w:p w:rsidR="00DA3402" w:rsidRPr="00B66467" w:rsidRDefault="00DA3402" w:rsidP="00750327">
            <w:pPr>
              <w:autoSpaceDE w:val="0"/>
              <w:autoSpaceDN w:val="0"/>
              <w:adjustRightInd w:val="0"/>
              <w:spacing w:after="0"/>
              <w:jc w:val="both"/>
              <w:rPr>
                <w:b/>
              </w:rPr>
            </w:pPr>
            <w:r w:rsidRPr="00B66467">
              <w:rPr>
                <w:b/>
              </w:rPr>
              <w:t xml:space="preserve">Leia-se: </w:t>
            </w:r>
            <w:r w:rsidRPr="00B66467">
              <w:t>“Preparação líquida resultante da ação de líquido extrator adequado sobre uma determinada droga de origem animal ou vegetal. ”</w:t>
            </w:r>
          </w:p>
        </w:tc>
      </w:tr>
      <w:tr w:rsidR="00DA3402" w:rsidRPr="00B66467" w:rsidTr="00B66467">
        <w:trPr>
          <w:trHeight w:val="711"/>
          <w:jc w:val="center"/>
        </w:trPr>
        <w:tc>
          <w:tcPr>
            <w:tcW w:w="794" w:type="dxa"/>
            <w:vMerge w:val="restart"/>
          </w:tcPr>
          <w:p w:rsidR="00DA3402" w:rsidRPr="00B66467" w:rsidRDefault="00DA3402" w:rsidP="00750327">
            <w:pPr>
              <w:spacing w:after="0"/>
            </w:pPr>
            <w:r w:rsidRPr="00B66467">
              <w:t>21</w:t>
            </w:r>
          </w:p>
        </w:tc>
        <w:tc>
          <w:tcPr>
            <w:tcW w:w="2219" w:type="dxa"/>
            <w:tcBorders>
              <w:bottom w:val="nil"/>
            </w:tcBorders>
          </w:tcPr>
          <w:p w:rsidR="00DA3402" w:rsidRPr="00B66467" w:rsidRDefault="00DA3402" w:rsidP="00750327">
            <w:pPr>
              <w:spacing w:after="0"/>
              <w:rPr>
                <w:bCs/>
              </w:rPr>
            </w:pPr>
            <w:r w:rsidRPr="00B66467">
              <w:rPr>
                <w:bCs/>
              </w:rPr>
              <w:t xml:space="preserve">5.2 NOMENCLATURA, NOMES ABREVIADOS, </w:t>
            </w:r>
          </w:p>
        </w:tc>
        <w:tc>
          <w:tcPr>
            <w:tcW w:w="2006" w:type="dxa"/>
            <w:vMerge w:val="restart"/>
          </w:tcPr>
          <w:p w:rsidR="00DA3402" w:rsidRPr="00B66467" w:rsidRDefault="00DA3402" w:rsidP="00750327">
            <w:pPr>
              <w:spacing w:after="0"/>
            </w:pPr>
            <w:r w:rsidRPr="00B66467">
              <w:t>ABREVIATURAS E SÍMBOLOS</w:t>
            </w:r>
          </w:p>
        </w:tc>
        <w:tc>
          <w:tcPr>
            <w:tcW w:w="3622" w:type="dxa"/>
            <w:vMerge w:val="restart"/>
          </w:tcPr>
          <w:p w:rsidR="00DA3402" w:rsidRPr="00B66467" w:rsidRDefault="00DA3402" w:rsidP="00750327">
            <w:pPr>
              <w:autoSpaceDE w:val="0"/>
              <w:autoSpaceDN w:val="0"/>
              <w:adjustRightInd w:val="0"/>
              <w:spacing w:after="0"/>
            </w:pPr>
            <w:r w:rsidRPr="00B66467">
              <w:rPr>
                <w:b/>
              </w:rPr>
              <w:t xml:space="preserve">Onde se lê: </w:t>
            </w:r>
            <w:r w:rsidRPr="00B66467">
              <w:t>“Método de fluxo contínuo = FC”</w:t>
            </w:r>
          </w:p>
          <w:p w:rsidR="00DA3402" w:rsidRPr="00B66467" w:rsidRDefault="00DA3402" w:rsidP="00750327">
            <w:pPr>
              <w:spacing w:after="0"/>
              <w:jc w:val="both"/>
            </w:pPr>
            <w:r w:rsidRPr="00B66467">
              <w:rPr>
                <w:b/>
              </w:rPr>
              <w:t xml:space="preserve">Leia-se: </w:t>
            </w:r>
            <w:r w:rsidRPr="00B66467">
              <w:t>“Método de Fluxo Contínuo = FC”</w:t>
            </w:r>
          </w:p>
          <w:p w:rsidR="00DA3402" w:rsidRPr="00B66467" w:rsidRDefault="00DA3402" w:rsidP="00750327">
            <w:pPr>
              <w:spacing w:after="0"/>
              <w:jc w:val="both"/>
            </w:pPr>
          </w:p>
        </w:tc>
      </w:tr>
      <w:tr w:rsidR="00DA3402" w:rsidRPr="00B66467" w:rsidTr="00B66467">
        <w:trPr>
          <w:trHeight w:val="210"/>
          <w:jc w:val="center"/>
        </w:trPr>
        <w:tc>
          <w:tcPr>
            <w:tcW w:w="794" w:type="dxa"/>
            <w:vMerge/>
          </w:tcPr>
          <w:p w:rsidR="00DA3402" w:rsidRPr="00B66467" w:rsidRDefault="00DA3402" w:rsidP="00750327">
            <w:pPr>
              <w:spacing w:after="0"/>
            </w:pPr>
          </w:p>
        </w:tc>
        <w:tc>
          <w:tcPr>
            <w:tcW w:w="2219" w:type="dxa"/>
            <w:tcBorders>
              <w:top w:val="nil"/>
            </w:tcBorders>
          </w:tcPr>
          <w:p w:rsidR="00DA3402" w:rsidRPr="00B66467" w:rsidRDefault="00DA3402" w:rsidP="00750327">
            <w:pPr>
              <w:spacing w:after="0"/>
              <w:rPr>
                <w:bCs/>
              </w:rPr>
            </w:pPr>
            <w:r w:rsidRPr="00B66467">
              <w:rPr>
                <w:bCs/>
              </w:rPr>
              <w:t>ABREVIATURAS E SÍMBOLOS, SINONÍMIA</w:t>
            </w:r>
          </w:p>
        </w:tc>
        <w:tc>
          <w:tcPr>
            <w:tcW w:w="2006" w:type="dxa"/>
            <w:vMerge/>
          </w:tcPr>
          <w:p w:rsidR="00DA3402" w:rsidRPr="00B66467" w:rsidRDefault="00DA3402" w:rsidP="00750327">
            <w:pPr>
              <w:spacing w:after="0"/>
            </w:pPr>
          </w:p>
        </w:tc>
        <w:tc>
          <w:tcPr>
            <w:tcW w:w="3622" w:type="dxa"/>
            <w:vMerge/>
          </w:tcPr>
          <w:p w:rsidR="00DA3402" w:rsidRPr="00B66467" w:rsidRDefault="00DA3402" w:rsidP="00750327">
            <w:pPr>
              <w:autoSpaceDE w:val="0"/>
              <w:autoSpaceDN w:val="0"/>
              <w:adjustRightInd w:val="0"/>
              <w:spacing w:after="0"/>
              <w:rPr>
                <w:b/>
              </w:rPr>
            </w:pPr>
          </w:p>
        </w:tc>
      </w:tr>
      <w:tr w:rsidR="00DA3402" w:rsidRPr="00B66467" w:rsidTr="00B66467">
        <w:trPr>
          <w:trHeight w:val="711"/>
          <w:jc w:val="center"/>
        </w:trPr>
        <w:tc>
          <w:tcPr>
            <w:tcW w:w="794" w:type="dxa"/>
            <w:vMerge w:val="restart"/>
          </w:tcPr>
          <w:p w:rsidR="00DA3402" w:rsidRPr="00B66467" w:rsidRDefault="00DA3402" w:rsidP="00750327">
            <w:pPr>
              <w:spacing w:after="0"/>
            </w:pPr>
            <w:r w:rsidRPr="00B66467">
              <w:t>45</w:t>
            </w:r>
          </w:p>
        </w:tc>
        <w:tc>
          <w:tcPr>
            <w:tcW w:w="2219" w:type="dxa"/>
            <w:vMerge w:val="restart"/>
          </w:tcPr>
          <w:p w:rsidR="00DA3402" w:rsidRPr="00B66467" w:rsidRDefault="00DA3402" w:rsidP="00750327">
            <w:pPr>
              <w:spacing w:after="0"/>
              <w:rPr>
                <w:bCs/>
              </w:rPr>
            </w:pPr>
            <w:r w:rsidRPr="00B66467">
              <w:rPr>
                <w:bCs/>
              </w:rPr>
              <w:t>9.1.14 ALCOOMETRIA</w:t>
            </w:r>
          </w:p>
        </w:tc>
        <w:tc>
          <w:tcPr>
            <w:tcW w:w="2006" w:type="dxa"/>
            <w:vMerge w:val="restart"/>
          </w:tcPr>
          <w:p w:rsidR="00DA3402" w:rsidRPr="00B66467" w:rsidRDefault="00DA3402" w:rsidP="00750327">
            <w:pPr>
              <w:spacing w:after="0"/>
            </w:pPr>
            <w:r w:rsidRPr="00B66467">
              <w:t>(2º parágrafo)</w:t>
            </w:r>
          </w:p>
        </w:tc>
        <w:tc>
          <w:tcPr>
            <w:tcW w:w="3622" w:type="dxa"/>
            <w:tcBorders>
              <w:bottom w:val="nil"/>
            </w:tcBorders>
          </w:tcPr>
          <w:p w:rsidR="00DA3402" w:rsidRPr="00B66467" w:rsidRDefault="00DA3402" w:rsidP="00750327">
            <w:pPr>
              <w:autoSpaceDE w:val="0"/>
              <w:autoSpaceDN w:val="0"/>
              <w:adjustRightInd w:val="0"/>
              <w:spacing w:after="0"/>
              <w:jc w:val="both"/>
            </w:pPr>
            <w:r w:rsidRPr="00B66467">
              <w:rPr>
                <w:b/>
              </w:rPr>
              <w:t xml:space="preserve">Onde se lê: </w:t>
            </w:r>
            <w:r w:rsidRPr="00B66467">
              <w:t xml:space="preserve">“O título </w:t>
            </w:r>
            <w:proofErr w:type="spellStart"/>
            <w:r w:rsidRPr="00B66467">
              <w:t>alcoométrico</w:t>
            </w:r>
            <w:proofErr w:type="spellEnd"/>
            <w:r w:rsidRPr="00B66467">
              <w:t xml:space="preserve"> volumétrico ou grau alcoólico volumétrico de uma mistura de água e etanol é expresso pelo número de</w:t>
            </w:r>
          </w:p>
        </w:tc>
      </w:tr>
      <w:tr w:rsidR="00DA3402" w:rsidRPr="00B66467" w:rsidTr="00B66467">
        <w:trPr>
          <w:trHeight w:val="702"/>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bottom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volume</w:t>
            </w:r>
            <w:proofErr w:type="gramEnd"/>
            <w:r w:rsidRPr="00B66467">
              <w:t xml:space="preserve"> de etanol, à temperatura de 20 °C, contido em 100 volumes dessa mistura à mesma temperatura. É expresso em % (v/v</w:t>
            </w:r>
            <w:proofErr w:type="gramStart"/>
            <w:r w:rsidRPr="00B66467">
              <w:t>).”</w:t>
            </w:r>
            <w:proofErr w:type="gramEnd"/>
          </w:p>
        </w:tc>
      </w:tr>
      <w:tr w:rsidR="00DA3402" w:rsidRPr="00B66467" w:rsidTr="00B66467">
        <w:trPr>
          <w:trHeight w:val="711"/>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bottom w:val="nil"/>
            </w:tcBorders>
          </w:tcPr>
          <w:p w:rsidR="00DA3402" w:rsidRPr="00B66467" w:rsidRDefault="00DA3402" w:rsidP="00750327">
            <w:pPr>
              <w:autoSpaceDE w:val="0"/>
              <w:autoSpaceDN w:val="0"/>
              <w:adjustRightInd w:val="0"/>
              <w:spacing w:after="0"/>
              <w:jc w:val="both"/>
            </w:pPr>
            <w:r w:rsidRPr="00B66467">
              <w:rPr>
                <w:b/>
              </w:rPr>
              <w:t xml:space="preserve">Leia-se: </w:t>
            </w:r>
            <w:r w:rsidRPr="00B66467">
              <w:t xml:space="preserve">“O título </w:t>
            </w:r>
            <w:proofErr w:type="spellStart"/>
            <w:r w:rsidRPr="00B66467">
              <w:t>alcoométrico</w:t>
            </w:r>
            <w:proofErr w:type="spellEnd"/>
            <w:r w:rsidRPr="00B66467">
              <w:t xml:space="preserve"> volumétrico ou grau alcoólico volumétrico de uma mistura de água </w:t>
            </w:r>
            <w:r w:rsidRPr="00B66467">
              <w:lastRenderedPageBreak/>
              <w:t>e etanol é expresso pelo volume de etanol,</w:t>
            </w:r>
          </w:p>
        </w:tc>
      </w:tr>
      <w:tr w:rsidR="00DA3402" w:rsidRPr="00B66467" w:rsidTr="00B66467">
        <w:trPr>
          <w:trHeight w:val="620"/>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à</w:t>
            </w:r>
            <w:proofErr w:type="gramEnd"/>
            <w:r w:rsidRPr="00B66467">
              <w:t xml:space="preserve"> temperatura de 20 °C, contido em 100 volumes dessa mistura à mesma temperatura. É expresso em % (v/v</w:t>
            </w:r>
            <w:proofErr w:type="gramStart"/>
            <w:r w:rsidRPr="00B66467">
              <w:t>).”</w:t>
            </w:r>
            <w:proofErr w:type="gramEnd"/>
          </w:p>
        </w:tc>
      </w:tr>
      <w:tr w:rsidR="00DA3402" w:rsidRPr="00B66467" w:rsidTr="00B66467">
        <w:trPr>
          <w:trHeight w:val="747"/>
          <w:jc w:val="center"/>
        </w:trPr>
        <w:tc>
          <w:tcPr>
            <w:tcW w:w="794" w:type="dxa"/>
            <w:vMerge w:val="restart"/>
          </w:tcPr>
          <w:p w:rsidR="00DA3402" w:rsidRPr="00B66467" w:rsidRDefault="00DA3402" w:rsidP="00750327">
            <w:pPr>
              <w:spacing w:after="0"/>
            </w:pPr>
            <w:r w:rsidRPr="00B66467">
              <w:t>62</w:t>
            </w:r>
          </w:p>
        </w:tc>
        <w:tc>
          <w:tcPr>
            <w:tcW w:w="2219" w:type="dxa"/>
            <w:vMerge w:val="restart"/>
          </w:tcPr>
          <w:p w:rsidR="00DA3402" w:rsidRPr="00B66467" w:rsidRDefault="00DA3402" w:rsidP="00750327">
            <w:pPr>
              <w:spacing w:after="0"/>
              <w:rPr>
                <w:bCs/>
              </w:rPr>
            </w:pPr>
            <w:r w:rsidRPr="00B66467">
              <w:rPr>
                <w:bCs/>
              </w:rPr>
              <w:t>11.1.1 ESCALAS DECIMAL E CENTESIMAL</w:t>
            </w:r>
          </w:p>
        </w:tc>
        <w:tc>
          <w:tcPr>
            <w:tcW w:w="2006" w:type="dxa"/>
            <w:vMerge w:val="restart"/>
          </w:tcPr>
          <w:p w:rsidR="00DA3402" w:rsidRPr="00B66467" w:rsidRDefault="00DA3402" w:rsidP="00750327">
            <w:pPr>
              <w:spacing w:after="0"/>
            </w:pPr>
            <w:r w:rsidRPr="00B66467">
              <w:t>11.1.1.1 DROGAS INSOLÚVEIS</w:t>
            </w:r>
          </w:p>
          <w:p w:rsidR="00DA3402" w:rsidRPr="00B66467" w:rsidRDefault="00DA3402" w:rsidP="00750327">
            <w:pPr>
              <w:spacing w:after="0"/>
            </w:pPr>
            <w:r w:rsidRPr="00B66467">
              <w:t>(Técnica – item 22)</w:t>
            </w:r>
          </w:p>
        </w:tc>
        <w:tc>
          <w:tcPr>
            <w:tcW w:w="3622" w:type="dxa"/>
            <w:tcBorders>
              <w:bottom w:val="nil"/>
            </w:tcBorders>
          </w:tcPr>
          <w:p w:rsidR="00DA3402" w:rsidRPr="00B66467" w:rsidRDefault="00DA3402" w:rsidP="00750327">
            <w:pPr>
              <w:autoSpaceDE w:val="0"/>
              <w:autoSpaceDN w:val="0"/>
              <w:adjustRightInd w:val="0"/>
              <w:spacing w:after="0"/>
              <w:jc w:val="both"/>
            </w:pPr>
            <w:r w:rsidRPr="00B66467">
              <w:rPr>
                <w:b/>
              </w:rPr>
              <w:t xml:space="preserve">Onde se lê: </w:t>
            </w:r>
            <w:r w:rsidRPr="00B66467">
              <w:t>“22. Esse triturado será acondicionado em frasco em recipiente bem fechado e protegido da luz, recebendo o nome da droga e a</w:t>
            </w:r>
          </w:p>
        </w:tc>
      </w:tr>
      <w:tr w:rsidR="00DA3402" w:rsidRPr="00B66467" w:rsidTr="00B66467">
        <w:trPr>
          <w:trHeight w:val="544"/>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bottom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designação</w:t>
            </w:r>
            <w:proofErr w:type="gramEnd"/>
            <w:r w:rsidRPr="00B66467">
              <w:t xml:space="preserve"> de terceiro triturado. Ex.: </w:t>
            </w:r>
            <w:proofErr w:type="spellStart"/>
            <w:r w:rsidRPr="00B66467">
              <w:rPr>
                <w:i/>
                <w:iCs/>
              </w:rPr>
              <w:t>Petroleum</w:t>
            </w:r>
            <w:proofErr w:type="spellEnd"/>
            <w:r w:rsidRPr="00B66467">
              <w:rPr>
                <w:i/>
                <w:iCs/>
              </w:rPr>
              <w:t xml:space="preserve"> </w:t>
            </w:r>
            <w:r w:rsidRPr="00B66467">
              <w:t xml:space="preserve">3 DH trit., </w:t>
            </w:r>
            <w:proofErr w:type="spellStart"/>
            <w:r w:rsidRPr="00B66467">
              <w:rPr>
                <w:i/>
                <w:iCs/>
              </w:rPr>
              <w:t>Petroleum</w:t>
            </w:r>
            <w:proofErr w:type="spellEnd"/>
            <w:r w:rsidRPr="00B66467">
              <w:rPr>
                <w:i/>
                <w:iCs/>
              </w:rPr>
              <w:t xml:space="preserve"> </w:t>
            </w:r>
            <w:r w:rsidRPr="00B66467">
              <w:t xml:space="preserve">3 CH </w:t>
            </w:r>
            <w:proofErr w:type="gramStart"/>
            <w:r w:rsidRPr="00B66467">
              <w:t>trit.”</w:t>
            </w:r>
            <w:proofErr w:type="gramEnd"/>
            <w:r w:rsidRPr="00B66467">
              <w:t xml:space="preserve"> </w:t>
            </w:r>
          </w:p>
        </w:tc>
      </w:tr>
      <w:tr w:rsidR="00DA3402" w:rsidRPr="00B66467" w:rsidTr="00B66467">
        <w:trPr>
          <w:trHeight w:val="501"/>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bottom w:val="nil"/>
            </w:tcBorders>
          </w:tcPr>
          <w:p w:rsidR="00DA3402" w:rsidRPr="00B66467" w:rsidRDefault="00DA3402" w:rsidP="00750327">
            <w:pPr>
              <w:autoSpaceDE w:val="0"/>
              <w:autoSpaceDN w:val="0"/>
              <w:adjustRightInd w:val="0"/>
              <w:spacing w:after="0"/>
              <w:jc w:val="both"/>
            </w:pPr>
            <w:r w:rsidRPr="00B66467">
              <w:rPr>
                <w:b/>
              </w:rPr>
              <w:t xml:space="preserve">Leia-se: </w:t>
            </w:r>
            <w:r w:rsidRPr="00B66467">
              <w:t xml:space="preserve"> “22. Esse triturado será acondicionado em recipiente bem fechado e protegido da luz, recebendo o</w:t>
            </w:r>
          </w:p>
        </w:tc>
      </w:tr>
      <w:tr w:rsidR="00DA3402" w:rsidRPr="00B66467" w:rsidTr="00B66467">
        <w:trPr>
          <w:trHeight w:val="602"/>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pPr>
          </w:p>
        </w:tc>
        <w:tc>
          <w:tcPr>
            <w:tcW w:w="3622" w:type="dxa"/>
            <w:tcBorders>
              <w:top w:val="nil"/>
              <w:bottom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nome</w:t>
            </w:r>
            <w:proofErr w:type="gramEnd"/>
            <w:r w:rsidRPr="00B66467">
              <w:t xml:space="preserve"> da droga e a designação de terceiro triturado. Ex.: </w:t>
            </w:r>
            <w:proofErr w:type="spellStart"/>
            <w:r w:rsidRPr="00B66467">
              <w:rPr>
                <w:i/>
                <w:iCs/>
              </w:rPr>
              <w:t>Petroleum</w:t>
            </w:r>
            <w:proofErr w:type="spellEnd"/>
            <w:r w:rsidRPr="00B66467">
              <w:rPr>
                <w:i/>
                <w:iCs/>
              </w:rPr>
              <w:t xml:space="preserve"> </w:t>
            </w:r>
            <w:r w:rsidRPr="00B66467">
              <w:t xml:space="preserve">3 DH trit., </w:t>
            </w:r>
            <w:proofErr w:type="spellStart"/>
            <w:r w:rsidRPr="00B66467">
              <w:rPr>
                <w:i/>
                <w:iCs/>
              </w:rPr>
              <w:t>Petroleum</w:t>
            </w:r>
            <w:proofErr w:type="spellEnd"/>
            <w:r w:rsidRPr="00B66467">
              <w:rPr>
                <w:i/>
                <w:iCs/>
              </w:rPr>
              <w:t xml:space="preserve"> </w:t>
            </w:r>
            <w:r w:rsidRPr="00B66467">
              <w:t xml:space="preserve">3 CH </w:t>
            </w:r>
            <w:proofErr w:type="gramStart"/>
            <w:r w:rsidRPr="00B66467">
              <w:t>trit.”</w:t>
            </w:r>
            <w:proofErr w:type="gramEnd"/>
            <w:r w:rsidRPr="00B66467">
              <w:t xml:space="preserve"> </w:t>
            </w:r>
          </w:p>
        </w:tc>
      </w:tr>
      <w:tr w:rsidR="00DA3402" w:rsidRPr="00B66467" w:rsidTr="00B66467">
        <w:trPr>
          <w:jc w:val="center"/>
        </w:trPr>
        <w:tc>
          <w:tcPr>
            <w:tcW w:w="794" w:type="dxa"/>
          </w:tcPr>
          <w:p w:rsidR="00DA3402" w:rsidRPr="00B66467" w:rsidRDefault="00DA3402" w:rsidP="00750327">
            <w:pPr>
              <w:spacing w:after="0"/>
            </w:pPr>
            <w:r w:rsidRPr="00B66467">
              <w:t>66</w:t>
            </w:r>
          </w:p>
        </w:tc>
        <w:tc>
          <w:tcPr>
            <w:tcW w:w="2219" w:type="dxa"/>
          </w:tcPr>
          <w:p w:rsidR="00DA3402" w:rsidRPr="00B66467" w:rsidRDefault="00DA3402" w:rsidP="00750327">
            <w:pPr>
              <w:spacing w:after="0"/>
              <w:rPr>
                <w:bCs/>
              </w:rPr>
            </w:pPr>
            <w:r w:rsidRPr="00B66467">
              <w:rPr>
                <w:bCs/>
              </w:rPr>
              <w:t>11.2 MÉTODO KORSAKOVIANO</w:t>
            </w:r>
          </w:p>
        </w:tc>
        <w:tc>
          <w:tcPr>
            <w:tcW w:w="2006" w:type="dxa"/>
          </w:tcPr>
          <w:p w:rsidR="00DA3402" w:rsidRPr="00B66467" w:rsidRDefault="00DA3402" w:rsidP="00750327">
            <w:pPr>
              <w:spacing w:after="0"/>
              <w:rPr>
                <w:b/>
              </w:rPr>
            </w:pPr>
            <w:r w:rsidRPr="00B66467">
              <w:rPr>
                <w:b/>
              </w:rPr>
              <w:t>Técnica</w:t>
            </w:r>
          </w:p>
        </w:tc>
        <w:tc>
          <w:tcPr>
            <w:tcW w:w="3622" w:type="dxa"/>
            <w:tcBorders>
              <w:top w:val="nil"/>
            </w:tcBorders>
          </w:tcPr>
          <w:p w:rsidR="00DA3402" w:rsidRPr="00B66467" w:rsidRDefault="00DA3402" w:rsidP="00750327">
            <w:pPr>
              <w:autoSpaceDE w:val="0"/>
              <w:autoSpaceDN w:val="0"/>
              <w:adjustRightInd w:val="0"/>
              <w:spacing w:after="0"/>
            </w:pPr>
            <w:r w:rsidRPr="00B66467">
              <w:rPr>
                <w:b/>
                <w:u w:val="single"/>
              </w:rPr>
              <w:t>Excluir</w:t>
            </w:r>
            <w:r w:rsidRPr="00B66467">
              <w:rPr>
                <w:b/>
              </w:rPr>
              <w:t xml:space="preserve"> o trecho: </w:t>
            </w:r>
            <w:r w:rsidRPr="00B66467">
              <w:t xml:space="preserve"> “É vedada a estocagem de medicamentos preparados por esse </w:t>
            </w:r>
            <w:proofErr w:type="gramStart"/>
            <w:r w:rsidRPr="00B66467">
              <w:t>método.”</w:t>
            </w:r>
            <w:proofErr w:type="gramEnd"/>
          </w:p>
        </w:tc>
      </w:tr>
      <w:tr w:rsidR="00DA3402" w:rsidRPr="00B66467" w:rsidTr="00B66467">
        <w:trPr>
          <w:trHeight w:val="565"/>
          <w:jc w:val="center"/>
        </w:trPr>
        <w:tc>
          <w:tcPr>
            <w:tcW w:w="794" w:type="dxa"/>
            <w:vMerge w:val="restart"/>
          </w:tcPr>
          <w:p w:rsidR="00DA3402" w:rsidRPr="00B66467" w:rsidRDefault="00DA3402" w:rsidP="00750327">
            <w:pPr>
              <w:spacing w:after="0"/>
            </w:pPr>
            <w:r w:rsidRPr="00B66467">
              <w:t xml:space="preserve">73 </w:t>
            </w:r>
          </w:p>
        </w:tc>
        <w:tc>
          <w:tcPr>
            <w:tcW w:w="2219" w:type="dxa"/>
            <w:vMerge w:val="restart"/>
          </w:tcPr>
          <w:p w:rsidR="00DA3402" w:rsidRPr="00B66467" w:rsidRDefault="00DA3402" w:rsidP="00750327">
            <w:pPr>
              <w:spacing w:after="0"/>
              <w:rPr>
                <w:bCs/>
              </w:rPr>
            </w:pPr>
            <w:r w:rsidRPr="00B66467">
              <w:rPr>
                <w:bCs/>
              </w:rPr>
              <w:t>12.1.2 FORMAS SÓLIDAS</w:t>
            </w:r>
          </w:p>
        </w:tc>
        <w:tc>
          <w:tcPr>
            <w:tcW w:w="2006" w:type="dxa"/>
            <w:vMerge w:val="restart"/>
          </w:tcPr>
          <w:p w:rsidR="00DA3402" w:rsidRPr="00B66467" w:rsidRDefault="00DA3402" w:rsidP="00750327">
            <w:pPr>
              <w:spacing w:after="0"/>
              <w:rPr>
                <w:b/>
              </w:rPr>
            </w:pPr>
            <w:r w:rsidRPr="00B66467">
              <w:rPr>
                <w:b/>
              </w:rPr>
              <w:t>12.1.2.4 PÓS</w:t>
            </w:r>
          </w:p>
          <w:p w:rsidR="00DA3402" w:rsidRPr="00B66467" w:rsidRDefault="00DA3402" w:rsidP="00750327">
            <w:pPr>
              <w:spacing w:after="0"/>
              <w:rPr>
                <w:b/>
                <w:i/>
              </w:rPr>
            </w:pPr>
            <w:proofErr w:type="gramStart"/>
            <w:r w:rsidRPr="00B66467">
              <w:rPr>
                <w:b/>
                <w:i/>
              </w:rPr>
              <w:t>2) Quando</w:t>
            </w:r>
            <w:proofErr w:type="gramEnd"/>
            <w:r w:rsidRPr="00B66467">
              <w:rPr>
                <w:b/>
                <w:i/>
              </w:rPr>
              <w:t xml:space="preserve"> o insumo ativo for sólido</w:t>
            </w:r>
          </w:p>
        </w:tc>
        <w:tc>
          <w:tcPr>
            <w:tcW w:w="3622" w:type="dxa"/>
            <w:tcBorders>
              <w:bottom w:val="nil"/>
            </w:tcBorders>
          </w:tcPr>
          <w:p w:rsidR="00DA3402" w:rsidRPr="00B66467" w:rsidRDefault="00DA3402" w:rsidP="00750327">
            <w:pPr>
              <w:autoSpaceDE w:val="0"/>
              <w:autoSpaceDN w:val="0"/>
              <w:adjustRightInd w:val="0"/>
              <w:spacing w:after="0"/>
              <w:jc w:val="both"/>
            </w:pPr>
            <w:r w:rsidRPr="00B66467">
              <w:rPr>
                <w:b/>
              </w:rPr>
              <w:t xml:space="preserve">Onde se lê: </w:t>
            </w:r>
            <w:r w:rsidRPr="00B66467">
              <w:t xml:space="preserve">“Misturar essa preparação, na proporção de 10% (p/p), em lactose e </w:t>
            </w:r>
            <w:proofErr w:type="gramStart"/>
            <w:r w:rsidRPr="00B66467">
              <w:t>homogeneizar.”</w:t>
            </w:r>
            <w:proofErr w:type="gramEnd"/>
          </w:p>
        </w:tc>
      </w:tr>
      <w:tr w:rsidR="00DA3402" w:rsidRPr="00B66467" w:rsidTr="00B66467">
        <w:trPr>
          <w:trHeight w:val="538"/>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tcBorders>
          </w:tcPr>
          <w:p w:rsidR="00DA3402" w:rsidRPr="00B66467" w:rsidRDefault="00DA3402" w:rsidP="00750327">
            <w:pPr>
              <w:spacing w:after="0"/>
              <w:jc w:val="both"/>
              <w:rPr>
                <w:b/>
              </w:rPr>
            </w:pPr>
            <w:r w:rsidRPr="00B66467">
              <w:rPr>
                <w:b/>
              </w:rPr>
              <w:t>Leia-se:</w:t>
            </w:r>
            <w:r w:rsidRPr="00B66467">
              <w:t xml:space="preserve"> “Misturar essa preparação, na proporção de, no mínimo, 10% (p/p) em lactose e </w:t>
            </w:r>
            <w:proofErr w:type="gramStart"/>
            <w:r w:rsidRPr="00B66467">
              <w:t>homogeneizar.”</w:t>
            </w:r>
            <w:proofErr w:type="gramEnd"/>
          </w:p>
        </w:tc>
      </w:tr>
      <w:tr w:rsidR="00DA3402" w:rsidRPr="00B66467" w:rsidTr="00B66467">
        <w:trPr>
          <w:trHeight w:val="337"/>
          <w:jc w:val="center"/>
        </w:trPr>
        <w:tc>
          <w:tcPr>
            <w:tcW w:w="794" w:type="dxa"/>
            <w:vMerge w:val="restart"/>
          </w:tcPr>
          <w:p w:rsidR="00DA3402" w:rsidRPr="00B66467" w:rsidRDefault="00DA3402" w:rsidP="00750327">
            <w:pPr>
              <w:spacing w:after="0"/>
            </w:pPr>
            <w:r w:rsidRPr="00B66467">
              <w:t>74</w:t>
            </w:r>
          </w:p>
        </w:tc>
        <w:tc>
          <w:tcPr>
            <w:tcW w:w="2219" w:type="dxa"/>
            <w:vMerge w:val="restart"/>
          </w:tcPr>
          <w:p w:rsidR="00DA3402" w:rsidRPr="00B66467" w:rsidRDefault="00DA3402" w:rsidP="00750327">
            <w:pPr>
              <w:spacing w:after="0"/>
              <w:rPr>
                <w:bCs/>
              </w:rPr>
            </w:pPr>
            <w:r w:rsidRPr="00B66467">
              <w:rPr>
                <w:bCs/>
              </w:rPr>
              <w:t>12.1.2 FORMAS SÓLIDAS</w:t>
            </w:r>
          </w:p>
        </w:tc>
        <w:tc>
          <w:tcPr>
            <w:tcW w:w="2006" w:type="dxa"/>
            <w:tcBorders>
              <w:bottom w:val="nil"/>
            </w:tcBorders>
          </w:tcPr>
          <w:p w:rsidR="00DA3402" w:rsidRPr="00B66467" w:rsidRDefault="00DA3402" w:rsidP="00750327">
            <w:pPr>
              <w:spacing w:after="0"/>
            </w:pPr>
            <w:r w:rsidRPr="00B66467">
              <w:rPr>
                <w:b/>
              </w:rPr>
              <w:t>12.1.2.5 TABLETES</w:t>
            </w:r>
          </w:p>
        </w:tc>
        <w:tc>
          <w:tcPr>
            <w:tcW w:w="3622" w:type="dxa"/>
            <w:vMerge w:val="restart"/>
          </w:tcPr>
          <w:p w:rsidR="00DA3402" w:rsidRPr="00B66467" w:rsidRDefault="00DA3402" w:rsidP="00750327">
            <w:pPr>
              <w:autoSpaceDE w:val="0"/>
              <w:autoSpaceDN w:val="0"/>
              <w:adjustRightInd w:val="0"/>
              <w:spacing w:after="0"/>
            </w:pPr>
            <w:r w:rsidRPr="00B66467">
              <w:rPr>
                <w:b/>
              </w:rPr>
              <w:t>Onde se lê:</w:t>
            </w:r>
            <w:r w:rsidRPr="00B66467">
              <w:t xml:space="preserve"> “O total de insumos ativos devem perfazer no mínimo 10% da </w:t>
            </w:r>
            <w:proofErr w:type="gramStart"/>
            <w:r w:rsidRPr="00B66467">
              <w:t>formulação.”</w:t>
            </w:r>
            <w:proofErr w:type="gramEnd"/>
          </w:p>
        </w:tc>
      </w:tr>
      <w:tr w:rsidR="00DA3402" w:rsidRPr="00B66467" w:rsidTr="00B66467">
        <w:trPr>
          <w:trHeight w:val="276"/>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val="restart"/>
            <w:tcBorders>
              <w:top w:val="nil"/>
            </w:tcBorders>
          </w:tcPr>
          <w:p w:rsidR="00DA3402" w:rsidRPr="00B66467" w:rsidRDefault="00DA3402" w:rsidP="00750327">
            <w:pPr>
              <w:spacing w:after="0"/>
              <w:rPr>
                <w:b/>
              </w:rPr>
            </w:pPr>
            <w:proofErr w:type="gramStart"/>
            <w:r w:rsidRPr="00B66467">
              <w:rPr>
                <w:b/>
                <w:i/>
              </w:rPr>
              <w:t>3) Quando</w:t>
            </w:r>
            <w:proofErr w:type="gramEnd"/>
            <w:r w:rsidRPr="00B66467">
              <w:rPr>
                <w:b/>
                <w:i/>
              </w:rPr>
              <w:t xml:space="preserve"> os insumos ativos forem sólidos e líquidos</w:t>
            </w:r>
          </w:p>
        </w:tc>
        <w:tc>
          <w:tcPr>
            <w:tcW w:w="3622" w:type="dxa"/>
            <w:vMerge/>
            <w:tcBorders>
              <w:bottom w:val="nil"/>
            </w:tcBorders>
          </w:tcPr>
          <w:p w:rsidR="00DA3402" w:rsidRPr="00B66467" w:rsidRDefault="00DA3402" w:rsidP="00750327">
            <w:pPr>
              <w:autoSpaceDE w:val="0"/>
              <w:autoSpaceDN w:val="0"/>
              <w:adjustRightInd w:val="0"/>
              <w:spacing w:after="0"/>
              <w:rPr>
                <w:b/>
              </w:rPr>
            </w:pPr>
          </w:p>
        </w:tc>
      </w:tr>
      <w:tr w:rsidR="00DA3402" w:rsidRPr="00B66467" w:rsidTr="00B66467">
        <w:trPr>
          <w:trHeight w:val="565"/>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bottom w:val="nil"/>
            </w:tcBorders>
          </w:tcPr>
          <w:p w:rsidR="00DA3402" w:rsidRPr="00B66467" w:rsidRDefault="00DA3402" w:rsidP="00750327">
            <w:pPr>
              <w:spacing w:after="0"/>
              <w:jc w:val="both"/>
              <w:rPr>
                <w:b/>
              </w:rPr>
            </w:pPr>
            <w:r w:rsidRPr="00B66467">
              <w:rPr>
                <w:b/>
              </w:rPr>
              <w:t>Leia-se:</w:t>
            </w:r>
            <w:r w:rsidRPr="00B66467">
              <w:t xml:space="preserve"> “O total de insumos ativos deve perfazer no mínimo 10% da </w:t>
            </w:r>
            <w:proofErr w:type="gramStart"/>
            <w:r w:rsidRPr="00B66467">
              <w:t>formulação.”</w:t>
            </w:r>
            <w:proofErr w:type="gramEnd"/>
          </w:p>
        </w:tc>
      </w:tr>
      <w:tr w:rsidR="00DA3402" w:rsidRPr="00B66467" w:rsidTr="00B66467">
        <w:trPr>
          <w:trHeight w:val="893"/>
          <w:jc w:val="center"/>
        </w:trPr>
        <w:tc>
          <w:tcPr>
            <w:tcW w:w="794" w:type="dxa"/>
            <w:vMerge w:val="restart"/>
          </w:tcPr>
          <w:p w:rsidR="00DA3402" w:rsidRPr="00B66467" w:rsidRDefault="00DA3402" w:rsidP="00750327">
            <w:pPr>
              <w:spacing w:after="0"/>
            </w:pPr>
            <w:r w:rsidRPr="00B66467">
              <w:t>81</w:t>
            </w:r>
          </w:p>
        </w:tc>
        <w:tc>
          <w:tcPr>
            <w:tcW w:w="2219" w:type="dxa"/>
            <w:vMerge w:val="restart"/>
          </w:tcPr>
          <w:p w:rsidR="00DA3402" w:rsidRPr="00B66467" w:rsidRDefault="00DA3402" w:rsidP="00750327">
            <w:pPr>
              <w:spacing w:after="0"/>
              <w:rPr>
                <w:bCs/>
              </w:rPr>
            </w:pPr>
            <w:r w:rsidRPr="00B66467">
              <w:rPr>
                <w:bCs/>
              </w:rPr>
              <w:t>12.1.3 FORMULAÇÕES FARMACÊUTICAS</w:t>
            </w:r>
          </w:p>
        </w:tc>
        <w:tc>
          <w:tcPr>
            <w:tcW w:w="2006" w:type="dxa"/>
            <w:vMerge w:val="restart"/>
          </w:tcPr>
          <w:p w:rsidR="00DA3402" w:rsidRPr="00B66467" w:rsidRDefault="00DA3402" w:rsidP="00750327">
            <w:pPr>
              <w:spacing w:after="0"/>
            </w:pPr>
            <w:r w:rsidRPr="00B66467">
              <w:rPr>
                <w:b/>
              </w:rPr>
              <w:t>12.1.3.2.4</w:t>
            </w:r>
            <w:r w:rsidRPr="00B66467">
              <w:t xml:space="preserve"> Tabletes</w:t>
            </w:r>
          </w:p>
          <w:p w:rsidR="00DA3402" w:rsidRPr="00B66467" w:rsidRDefault="00DA3402" w:rsidP="00750327">
            <w:pPr>
              <w:spacing w:after="0"/>
              <w:rPr>
                <w:b/>
                <w:i/>
              </w:rPr>
            </w:pPr>
            <w:proofErr w:type="gramStart"/>
            <w:r w:rsidRPr="00B66467">
              <w:rPr>
                <w:b/>
                <w:i/>
              </w:rPr>
              <w:t>3) Com</w:t>
            </w:r>
            <w:proofErr w:type="gramEnd"/>
            <w:r w:rsidRPr="00B66467">
              <w:rPr>
                <w:b/>
                <w:i/>
              </w:rPr>
              <w:t xml:space="preserve"> insumos ativos sólidos e líquidos</w:t>
            </w:r>
          </w:p>
          <w:p w:rsidR="00DA3402" w:rsidRPr="00B66467" w:rsidRDefault="00DA3402" w:rsidP="00750327">
            <w:pPr>
              <w:spacing w:after="0"/>
              <w:rPr>
                <w:b/>
              </w:rPr>
            </w:pPr>
            <w:r w:rsidRPr="00B66467">
              <w:rPr>
                <w:b/>
              </w:rPr>
              <w:t>(Exemplo)</w:t>
            </w:r>
          </w:p>
        </w:tc>
        <w:tc>
          <w:tcPr>
            <w:tcW w:w="3622" w:type="dxa"/>
            <w:tcBorders>
              <w:top w:val="nil"/>
              <w:bottom w:val="nil"/>
            </w:tcBorders>
          </w:tcPr>
          <w:p w:rsidR="00DA3402" w:rsidRPr="00B66467" w:rsidRDefault="00DA3402" w:rsidP="00750327">
            <w:pPr>
              <w:spacing w:after="0"/>
              <w:jc w:val="both"/>
              <w:rPr>
                <w:b/>
              </w:rPr>
            </w:pPr>
            <w:r w:rsidRPr="00B66467">
              <w:rPr>
                <w:b/>
              </w:rPr>
              <w:t>Onde se lê:</w:t>
            </w:r>
          </w:p>
          <w:p w:rsidR="00DA3402" w:rsidRPr="00B66467" w:rsidRDefault="00DA3402" w:rsidP="00750327">
            <w:pPr>
              <w:autoSpaceDE w:val="0"/>
              <w:autoSpaceDN w:val="0"/>
              <w:adjustRightInd w:val="0"/>
              <w:spacing w:after="0"/>
            </w:pPr>
            <w:r w:rsidRPr="00B66467">
              <w:t>“Lactose............................</w:t>
            </w:r>
            <w:proofErr w:type="spellStart"/>
            <w:r w:rsidRPr="00B66467">
              <w:t>qsp</w:t>
            </w:r>
            <w:proofErr w:type="spellEnd"/>
            <w:r w:rsidRPr="00B66467">
              <w:t xml:space="preserve">........... 100g. </w:t>
            </w:r>
          </w:p>
          <w:p w:rsidR="00DA3402" w:rsidRPr="00B66467" w:rsidRDefault="00DA3402" w:rsidP="00750327">
            <w:pPr>
              <w:autoSpaceDE w:val="0"/>
              <w:autoSpaceDN w:val="0"/>
              <w:adjustRightInd w:val="0"/>
              <w:spacing w:after="0"/>
              <w:rPr>
                <w:b/>
              </w:rPr>
            </w:pPr>
            <w:r w:rsidRPr="00B66467">
              <w:t xml:space="preserve">  </w:t>
            </w:r>
            <w:proofErr w:type="gramStart"/>
            <w:r w:rsidRPr="00B66467">
              <w:t>álcool</w:t>
            </w:r>
            <w:proofErr w:type="gramEnd"/>
            <w:r w:rsidRPr="00B66467">
              <w:t xml:space="preserve"> 77% (v/v) (equivalente a 70% (p/p)) ou superior..........</w:t>
            </w:r>
            <w:proofErr w:type="spellStart"/>
            <w:r w:rsidRPr="00B66467">
              <w:t>qs</w:t>
            </w:r>
            <w:proofErr w:type="spellEnd"/>
            <w:r w:rsidRPr="00B66467">
              <w:t>”</w:t>
            </w:r>
          </w:p>
        </w:tc>
      </w:tr>
      <w:tr w:rsidR="00DA3402" w:rsidRPr="00B66467" w:rsidTr="00B66467">
        <w:trPr>
          <w:trHeight w:val="1012"/>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bottom w:val="nil"/>
            </w:tcBorders>
          </w:tcPr>
          <w:p w:rsidR="00DA3402" w:rsidRPr="00B66467" w:rsidRDefault="00DA3402" w:rsidP="00750327">
            <w:pPr>
              <w:spacing w:after="0"/>
              <w:jc w:val="both"/>
              <w:rPr>
                <w:b/>
              </w:rPr>
            </w:pPr>
            <w:r w:rsidRPr="00B66467">
              <w:rPr>
                <w:b/>
              </w:rPr>
              <w:t>Leia-se:</w:t>
            </w:r>
          </w:p>
          <w:p w:rsidR="00DA3402" w:rsidRPr="00B66467" w:rsidRDefault="00DA3402" w:rsidP="00750327">
            <w:pPr>
              <w:autoSpaceDE w:val="0"/>
              <w:autoSpaceDN w:val="0"/>
              <w:adjustRightInd w:val="0"/>
              <w:spacing w:after="0"/>
            </w:pPr>
            <w:r w:rsidRPr="00B66467">
              <w:t>“Lactose............................</w:t>
            </w:r>
            <w:proofErr w:type="spellStart"/>
            <w:r w:rsidRPr="00B66467">
              <w:t>qsp</w:t>
            </w:r>
            <w:proofErr w:type="spellEnd"/>
            <w:r w:rsidRPr="00B66467">
              <w:t xml:space="preserve">........... 100g. </w:t>
            </w:r>
          </w:p>
          <w:p w:rsidR="00DA3402" w:rsidRPr="00B66467" w:rsidRDefault="00DA3402" w:rsidP="00750327">
            <w:pPr>
              <w:autoSpaceDE w:val="0"/>
              <w:autoSpaceDN w:val="0"/>
              <w:adjustRightInd w:val="0"/>
              <w:spacing w:after="0"/>
            </w:pPr>
            <w:r w:rsidRPr="00B66467">
              <w:t xml:space="preserve">  Etanol 77% (v/v) (equivalente a 70% (p/p)) ou superior..........</w:t>
            </w:r>
            <w:proofErr w:type="spellStart"/>
            <w:r w:rsidRPr="00B66467">
              <w:t>qs</w:t>
            </w:r>
            <w:proofErr w:type="spellEnd"/>
            <w:r w:rsidRPr="00B66467">
              <w:t>”</w:t>
            </w:r>
          </w:p>
          <w:p w:rsidR="00DA3402" w:rsidRPr="00B66467" w:rsidRDefault="00DA3402" w:rsidP="00750327">
            <w:pPr>
              <w:autoSpaceDE w:val="0"/>
              <w:autoSpaceDN w:val="0"/>
              <w:adjustRightInd w:val="0"/>
              <w:spacing w:after="0"/>
              <w:rPr>
                <w:b/>
              </w:rPr>
            </w:pPr>
          </w:p>
        </w:tc>
      </w:tr>
      <w:tr w:rsidR="00DA3402" w:rsidRPr="00B66467" w:rsidTr="00B66467">
        <w:trPr>
          <w:trHeight w:val="1048"/>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tcBorders>
          </w:tcPr>
          <w:p w:rsidR="00DA3402" w:rsidRPr="00B66467" w:rsidRDefault="00DA3402" w:rsidP="00750327">
            <w:pPr>
              <w:autoSpaceDE w:val="0"/>
              <w:autoSpaceDN w:val="0"/>
              <w:adjustRightInd w:val="0"/>
              <w:spacing w:after="0"/>
            </w:pPr>
          </w:p>
          <w:p w:rsidR="00DA3402" w:rsidRPr="00B66467" w:rsidRDefault="00DA3402" w:rsidP="00750327">
            <w:pPr>
              <w:autoSpaceDE w:val="0"/>
              <w:autoSpaceDN w:val="0"/>
              <w:adjustRightInd w:val="0"/>
              <w:spacing w:after="0"/>
              <w:rPr>
                <w:color w:val="000000"/>
              </w:rPr>
            </w:pPr>
            <w:r w:rsidRPr="00B66467">
              <w:rPr>
                <w:b/>
              </w:rPr>
              <w:t xml:space="preserve">Onde se lê: </w:t>
            </w:r>
            <w:r w:rsidRPr="00B66467">
              <w:t>“</w:t>
            </w:r>
            <w:r w:rsidRPr="00B66467">
              <w:rPr>
                <w:color w:val="000000"/>
              </w:rPr>
              <w:t xml:space="preserve">Misturar e homogeneizar a fase sólida → 2,5 g x 2 = 10 g.” </w:t>
            </w:r>
          </w:p>
          <w:p w:rsidR="00DA3402" w:rsidRPr="00B66467" w:rsidRDefault="00DA3402" w:rsidP="00750327">
            <w:pPr>
              <w:autoSpaceDE w:val="0"/>
              <w:autoSpaceDN w:val="0"/>
              <w:adjustRightInd w:val="0"/>
              <w:spacing w:after="0"/>
              <w:rPr>
                <w:b/>
              </w:rPr>
            </w:pPr>
            <w:r w:rsidRPr="00B66467">
              <w:rPr>
                <w:b/>
                <w:color w:val="000000"/>
              </w:rPr>
              <w:t xml:space="preserve">Leia-se: </w:t>
            </w:r>
            <w:r w:rsidRPr="00B66467">
              <w:t>“</w:t>
            </w:r>
            <w:r w:rsidRPr="00B66467">
              <w:rPr>
                <w:color w:val="000000"/>
              </w:rPr>
              <w:t>Misturar e homogeneizar a fase sólida → 2,5 g x 2 = 5 g.”</w:t>
            </w:r>
          </w:p>
        </w:tc>
      </w:tr>
      <w:tr w:rsidR="00DA3402" w:rsidRPr="00B66467" w:rsidTr="00B66467">
        <w:trPr>
          <w:trHeight w:val="1096"/>
          <w:jc w:val="center"/>
        </w:trPr>
        <w:tc>
          <w:tcPr>
            <w:tcW w:w="794" w:type="dxa"/>
            <w:vMerge w:val="restart"/>
          </w:tcPr>
          <w:p w:rsidR="00DA3402" w:rsidRPr="00B66467" w:rsidRDefault="00DA3402" w:rsidP="00750327">
            <w:pPr>
              <w:spacing w:after="0"/>
            </w:pPr>
            <w:r w:rsidRPr="00B66467">
              <w:t>82</w:t>
            </w:r>
          </w:p>
        </w:tc>
        <w:tc>
          <w:tcPr>
            <w:tcW w:w="2219" w:type="dxa"/>
            <w:vMerge w:val="restart"/>
          </w:tcPr>
          <w:p w:rsidR="00DA3402" w:rsidRPr="00B66467" w:rsidRDefault="00DA3402" w:rsidP="00750327">
            <w:pPr>
              <w:spacing w:after="0"/>
              <w:rPr>
                <w:bCs/>
              </w:rPr>
            </w:pPr>
            <w:r w:rsidRPr="00B66467">
              <w:rPr>
                <w:bCs/>
              </w:rPr>
              <w:t>12.1.3 FORMULAÇÕES FARMACÊUTICAS</w:t>
            </w:r>
          </w:p>
        </w:tc>
        <w:tc>
          <w:tcPr>
            <w:tcW w:w="2006" w:type="dxa"/>
            <w:tcBorders>
              <w:bottom w:val="nil"/>
            </w:tcBorders>
          </w:tcPr>
          <w:p w:rsidR="00DA3402" w:rsidRPr="00B66467" w:rsidRDefault="00DA3402" w:rsidP="00750327">
            <w:pPr>
              <w:spacing w:after="0"/>
              <w:rPr>
                <w:b/>
              </w:rPr>
            </w:pPr>
          </w:p>
          <w:p w:rsidR="00DA3402" w:rsidRPr="00B66467" w:rsidRDefault="00DA3402" w:rsidP="00750327">
            <w:pPr>
              <w:spacing w:after="0"/>
            </w:pPr>
            <w:r w:rsidRPr="00B66467">
              <w:rPr>
                <w:b/>
              </w:rPr>
              <w:t>12.1.3.2.5</w:t>
            </w:r>
            <w:r w:rsidRPr="00B66467">
              <w:t xml:space="preserve"> Dose única sólida</w:t>
            </w:r>
          </w:p>
          <w:p w:rsidR="00DA3402" w:rsidRPr="00B66467" w:rsidRDefault="00DA3402" w:rsidP="00750327">
            <w:pPr>
              <w:spacing w:after="0"/>
              <w:rPr>
                <w:b/>
              </w:rPr>
            </w:pPr>
            <w:proofErr w:type="gramStart"/>
            <w:r w:rsidRPr="00B66467">
              <w:rPr>
                <w:b/>
                <w:i/>
              </w:rPr>
              <w:t>4) Com</w:t>
            </w:r>
            <w:proofErr w:type="gramEnd"/>
            <w:r w:rsidRPr="00B66467">
              <w:rPr>
                <w:b/>
                <w:i/>
              </w:rPr>
              <w:t xml:space="preserve"> dois ou mais insumos ativos sólidos</w:t>
            </w:r>
          </w:p>
        </w:tc>
        <w:tc>
          <w:tcPr>
            <w:tcW w:w="3622" w:type="dxa"/>
            <w:tcBorders>
              <w:bottom w:val="nil"/>
            </w:tcBorders>
          </w:tcPr>
          <w:p w:rsidR="00DA3402" w:rsidRPr="00B66467" w:rsidRDefault="00DA3402" w:rsidP="00750327">
            <w:pPr>
              <w:spacing w:after="0"/>
              <w:jc w:val="both"/>
              <w:rPr>
                <w:b/>
              </w:rPr>
            </w:pPr>
            <w:r w:rsidRPr="00B66467">
              <w:rPr>
                <w:b/>
              </w:rPr>
              <w:t>Onde se lê:</w:t>
            </w:r>
          </w:p>
          <w:p w:rsidR="00DA3402" w:rsidRPr="00B66467" w:rsidRDefault="00DA3402" w:rsidP="00750327">
            <w:pPr>
              <w:autoSpaceDE w:val="0"/>
              <w:autoSpaceDN w:val="0"/>
              <w:adjustRightInd w:val="0"/>
              <w:spacing w:after="0"/>
            </w:pPr>
            <w:r w:rsidRPr="00B66467">
              <w:rPr>
                <w:noProof/>
              </w:rPr>
              <w:drawing>
                <wp:anchor distT="0" distB="0" distL="114300" distR="114300" simplePos="0" relativeHeight="251659264" behindDoc="0" locked="0" layoutInCell="1" allowOverlap="1" wp14:anchorId="79CAC355" wp14:editId="72B49953">
                  <wp:simplePos x="0" y="0"/>
                  <wp:positionH relativeFrom="margin">
                    <wp:posOffset>1437640</wp:posOffset>
                  </wp:positionH>
                  <wp:positionV relativeFrom="margin">
                    <wp:posOffset>173355</wp:posOffset>
                  </wp:positionV>
                  <wp:extent cx="123825" cy="314325"/>
                  <wp:effectExtent l="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6467">
              <w:rPr>
                <w:b/>
                <w:bCs/>
              </w:rPr>
              <w:t xml:space="preserve">a) </w:t>
            </w:r>
            <w:proofErr w:type="spellStart"/>
            <w:r w:rsidRPr="00B66467">
              <w:rPr>
                <w:i/>
                <w:iCs/>
              </w:rPr>
              <w:t>Calcarea</w:t>
            </w:r>
            <w:proofErr w:type="spellEnd"/>
            <w:r w:rsidRPr="00B66467">
              <w:rPr>
                <w:i/>
                <w:iCs/>
              </w:rPr>
              <w:t xml:space="preserve"> </w:t>
            </w:r>
            <w:proofErr w:type="spellStart"/>
            <w:r w:rsidRPr="00B66467">
              <w:rPr>
                <w:i/>
                <w:iCs/>
              </w:rPr>
              <w:t>carbonica</w:t>
            </w:r>
            <w:proofErr w:type="spellEnd"/>
            <w:r w:rsidRPr="00B66467">
              <w:rPr>
                <w:i/>
                <w:iCs/>
              </w:rPr>
              <w:t xml:space="preserve"> </w:t>
            </w:r>
            <w:r w:rsidRPr="00B66467">
              <w:t xml:space="preserve">3 CH trit.    </w:t>
            </w:r>
            <w:proofErr w:type="spellStart"/>
            <w:proofErr w:type="gramStart"/>
            <w:r w:rsidRPr="00B66467">
              <w:t>ãã</w:t>
            </w:r>
            <w:proofErr w:type="spellEnd"/>
            <w:r w:rsidRPr="00B66467">
              <w:t>....</w:t>
            </w:r>
            <w:proofErr w:type="gramEnd"/>
            <w:r w:rsidRPr="00B66467">
              <w:t xml:space="preserve">. </w:t>
            </w:r>
            <w:proofErr w:type="spellStart"/>
            <w:proofErr w:type="gramStart"/>
            <w:r w:rsidRPr="00B66467">
              <w:t>qsp</w:t>
            </w:r>
            <w:proofErr w:type="spellEnd"/>
            <w:r w:rsidRPr="00B66467">
              <w:t>....</w:t>
            </w:r>
            <w:proofErr w:type="gramEnd"/>
            <w:r w:rsidRPr="00B66467">
              <w:t xml:space="preserve">. 1 comprimido </w:t>
            </w:r>
            <w:r w:rsidRPr="00B66467">
              <w:rPr>
                <w:i/>
                <w:iCs/>
              </w:rPr>
              <w:t xml:space="preserve">  </w:t>
            </w:r>
            <w:proofErr w:type="spellStart"/>
            <w:r w:rsidRPr="00B66467">
              <w:rPr>
                <w:i/>
                <w:iCs/>
              </w:rPr>
              <w:t>Ferrum</w:t>
            </w:r>
            <w:proofErr w:type="spellEnd"/>
            <w:r w:rsidRPr="00B66467">
              <w:rPr>
                <w:i/>
                <w:iCs/>
              </w:rPr>
              <w:t xml:space="preserve"> </w:t>
            </w:r>
            <w:proofErr w:type="spellStart"/>
            <w:r w:rsidRPr="00B66467">
              <w:rPr>
                <w:i/>
                <w:iCs/>
              </w:rPr>
              <w:t>metallicum</w:t>
            </w:r>
            <w:proofErr w:type="spellEnd"/>
            <w:r w:rsidRPr="00B66467">
              <w:rPr>
                <w:i/>
                <w:iCs/>
              </w:rPr>
              <w:t xml:space="preserve"> </w:t>
            </w:r>
            <w:r w:rsidRPr="00B66467">
              <w:t xml:space="preserve">3 CH trit. </w:t>
            </w:r>
          </w:p>
          <w:p w:rsidR="00DA3402" w:rsidRPr="00B66467" w:rsidRDefault="00DA3402" w:rsidP="00750327">
            <w:pPr>
              <w:autoSpaceDE w:val="0"/>
              <w:autoSpaceDN w:val="0"/>
              <w:adjustRightInd w:val="0"/>
              <w:spacing w:after="0"/>
            </w:pPr>
          </w:p>
        </w:tc>
      </w:tr>
      <w:tr w:rsidR="00DA3402" w:rsidRPr="00B66467" w:rsidTr="00B66467">
        <w:trPr>
          <w:trHeight w:val="693"/>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val="restart"/>
            <w:tcBorders>
              <w:top w:val="nil"/>
            </w:tcBorders>
          </w:tcPr>
          <w:p w:rsidR="00DA3402" w:rsidRPr="00B66467" w:rsidRDefault="00DA3402" w:rsidP="00750327">
            <w:pPr>
              <w:spacing w:after="0"/>
            </w:pPr>
            <w:r w:rsidRPr="00B66467">
              <w:rPr>
                <w:b/>
              </w:rPr>
              <w:t>(Exemplos)</w:t>
            </w:r>
          </w:p>
          <w:p w:rsidR="00DA3402" w:rsidRPr="00B66467" w:rsidRDefault="00DA3402" w:rsidP="00750327">
            <w:pPr>
              <w:spacing w:after="0"/>
            </w:pPr>
          </w:p>
          <w:p w:rsidR="00DA3402" w:rsidRPr="00B66467" w:rsidRDefault="00DA3402" w:rsidP="00750327">
            <w:pPr>
              <w:spacing w:after="0"/>
              <w:rPr>
                <w:b/>
              </w:rPr>
            </w:pPr>
          </w:p>
        </w:tc>
        <w:tc>
          <w:tcPr>
            <w:tcW w:w="3622" w:type="dxa"/>
            <w:tcBorders>
              <w:top w:val="nil"/>
              <w:bottom w:val="nil"/>
            </w:tcBorders>
          </w:tcPr>
          <w:p w:rsidR="00DA3402" w:rsidRPr="00B66467" w:rsidRDefault="00DA3402" w:rsidP="00750327">
            <w:pPr>
              <w:autoSpaceDE w:val="0"/>
              <w:autoSpaceDN w:val="0"/>
              <w:adjustRightInd w:val="0"/>
              <w:spacing w:after="0"/>
            </w:pPr>
            <w:r w:rsidRPr="00B66467">
              <w:rPr>
                <w:i/>
                <w:iCs/>
              </w:rPr>
              <w:t xml:space="preserve">   Procedimento: </w:t>
            </w:r>
            <w:r w:rsidRPr="00B66467">
              <w:t xml:space="preserve">preparar por impregnação conforme descrito em </w:t>
            </w:r>
            <w:r w:rsidRPr="00B66467">
              <w:rPr>
                <w:i/>
                <w:iCs/>
              </w:rPr>
              <w:t xml:space="preserve">Comprimidos </w:t>
            </w:r>
            <w:r w:rsidRPr="00B66467">
              <w:rPr>
                <w:b/>
                <w:bCs/>
              </w:rPr>
              <w:t>(12.1.2.2)</w:t>
            </w:r>
            <w:r w:rsidRPr="00B66467">
              <w:t xml:space="preserve">. </w:t>
            </w:r>
          </w:p>
          <w:p w:rsidR="00DA3402" w:rsidRPr="00B66467" w:rsidRDefault="00DA3402" w:rsidP="00750327">
            <w:pPr>
              <w:autoSpaceDE w:val="0"/>
              <w:autoSpaceDN w:val="0"/>
              <w:adjustRightInd w:val="0"/>
              <w:spacing w:after="0"/>
              <w:rPr>
                <w:b/>
              </w:rPr>
            </w:pPr>
          </w:p>
        </w:tc>
      </w:tr>
      <w:tr w:rsidR="00DA3402" w:rsidRPr="00B66467" w:rsidTr="00B66467">
        <w:trPr>
          <w:trHeight w:val="848"/>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bottom w:val="nil"/>
            </w:tcBorders>
          </w:tcPr>
          <w:p w:rsidR="00DA3402" w:rsidRPr="00B66467" w:rsidRDefault="00DA3402" w:rsidP="00750327">
            <w:pPr>
              <w:spacing w:after="0"/>
              <w:jc w:val="both"/>
              <w:rPr>
                <w:b/>
              </w:rPr>
            </w:pPr>
            <w:r w:rsidRPr="00B66467">
              <w:rPr>
                <w:b/>
              </w:rPr>
              <w:t>Leia-se:</w:t>
            </w:r>
          </w:p>
          <w:p w:rsidR="00DA3402" w:rsidRPr="00B66467" w:rsidRDefault="00DA3402" w:rsidP="00750327">
            <w:pPr>
              <w:autoSpaceDE w:val="0"/>
              <w:autoSpaceDN w:val="0"/>
              <w:adjustRightInd w:val="0"/>
              <w:spacing w:after="0"/>
            </w:pPr>
            <w:r w:rsidRPr="00B66467">
              <w:rPr>
                <w:b/>
                <w:bCs/>
              </w:rPr>
              <w:t xml:space="preserve">a) </w:t>
            </w:r>
            <w:proofErr w:type="spellStart"/>
            <w:r w:rsidRPr="00B66467">
              <w:rPr>
                <w:i/>
                <w:iCs/>
              </w:rPr>
              <w:t>Calcarea</w:t>
            </w:r>
            <w:proofErr w:type="spellEnd"/>
            <w:r w:rsidRPr="00B66467">
              <w:rPr>
                <w:i/>
                <w:iCs/>
              </w:rPr>
              <w:t xml:space="preserve"> </w:t>
            </w:r>
            <w:proofErr w:type="spellStart"/>
            <w:r w:rsidRPr="00B66467">
              <w:rPr>
                <w:i/>
                <w:iCs/>
              </w:rPr>
              <w:t>carbonica</w:t>
            </w:r>
            <w:proofErr w:type="spellEnd"/>
            <w:r w:rsidRPr="00B66467">
              <w:rPr>
                <w:i/>
                <w:iCs/>
              </w:rPr>
              <w:t xml:space="preserve"> </w:t>
            </w:r>
            <w:r w:rsidRPr="00B66467">
              <w:t xml:space="preserve">3 CH trit. </w:t>
            </w:r>
          </w:p>
          <w:p w:rsidR="00DA3402" w:rsidRPr="00B66467" w:rsidRDefault="00DA3402" w:rsidP="00750327">
            <w:pPr>
              <w:autoSpaceDE w:val="0"/>
              <w:autoSpaceDN w:val="0"/>
              <w:adjustRightInd w:val="0"/>
              <w:spacing w:after="0"/>
            </w:pPr>
            <w:r w:rsidRPr="00B66467">
              <w:t xml:space="preserve">   </w:t>
            </w:r>
            <w:proofErr w:type="spellStart"/>
            <w:proofErr w:type="gramStart"/>
            <w:r w:rsidRPr="00B66467">
              <w:t>ãã</w:t>
            </w:r>
            <w:proofErr w:type="spellEnd"/>
            <w:r w:rsidRPr="00B66467">
              <w:t>....</w:t>
            </w:r>
            <w:proofErr w:type="gramEnd"/>
            <w:r w:rsidRPr="00B66467">
              <w:t xml:space="preserve">. </w:t>
            </w:r>
            <w:proofErr w:type="spellStart"/>
            <w:proofErr w:type="gramStart"/>
            <w:r w:rsidRPr="00B66467">
              <w:t>qsp</w:t>
            </w:r>
            <w:proofErr w:type="spellEnd"/>
            <w:r w:rsidRPr="00B66467">
              <w:t>....</w:t>
            </w:r>
            <w:proofErr w:type="gramEnd"/>
            <w:r w:rsidRPr="00B66467">
              <w:t xml:space="preserve">. 1 comprimido </w:t>
            </w:r>
            <w:r w:rsidRPr="00B66467">
              <w:rPr>
                <w:i/>
                <w:iCs/>
              </w:rPr>
              <w:t xml:space="preserve">  </w:t>
            </w:r>
            <w:proofErr w:type="spellStart"/>
            <w:r w:rsidRPr="00B66467">
              <w:rPr>
                <w:i/>
                <w:iCs/>
              </w:rPr>
              <w:t>Ferrum</w:t>
            </w:r>
            <w:proofErr w:type="spellEnd"/>
            <w:r w:rsidRPr="00B66467">
              <w:rPr>
                <w:i/>
                <w:iCs/>
              </w:rPr>
              <w:t xml:space="preserve"> </w:t>
            </w:r>
            <w:proofErr w:type="spellStart"/>
            <w:r w:rsidRPr="00B66467">
              <w:rPr>
                <w:i/>
                <w:iCs/>
              </w:rPr>
              <w:t>metallicum</w:t>
            </w:r>
            <w:proofErr w:type="spellEnd"/>
            <w:r w:rsidRPr="00B66467">
              <w:rPr>
                <w:i/>
                <w:iCs/>
              </w:rPr>
              <w:t xml:space="preserve"> </w:t>
            </w:r>
            <w:r w:rsidRPr="00B66467">
              <w:t xml:space="preserve">3 CH trit. </w:t>
            </w:r>
          </w:p>
          <w:p w:rsidR="00DA3402" w:rsidRPr="00B66467" w:rsidRDefault="00DA3402" w:rsidP="00750327">
            <w:pPr>
              <w:autoSpaceDE w:val="0"/>
              <w:autoSpaceDN w:val="0"/>
              <w:adjustRightInd w:val="0"/>
              <w:spacing w:after="0"/>
              <w:rPr>
                <w:i/>
                <w:iCs/>
              </w:rPr>
            </w:pPr>
          </w:p>
        </w:tc>
      </w:tr>
      <w:tr w:rsidR="00DA3402" w:rsidRPr="00B66467" w:rsidTr="00B66467">
        <w:trPr>
          <w:trHeight w:val="1741"/>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tcBorders>
          </w:tcPr>
          <w:p w:rsidR="00DA3402" w:rsidRPr="00B66467" w:rsidRDefault="00DA3402" w:rsidP="00750327">
            <w:pPr>
              <w:autoSpaceDE w:val="0"/>
              <w:autoSpaceDN w:val="0"/>
              <w:adjustRightInd w:val="0"/>
              <w:spacing w:after="0"/>
            </w:pPr>
            <w:r w:rsidRPr="00B66467">
              <w:rPr>
                <w:noProof/>
              </w:rPr>
              <w:drawing>
                <wp:anchor distT="0" distB="0" distL="114300" distR="114300" simplePos="0" relativeHeight="251660288" behindDoc="0" locked="0" layoutInCell="1" allowOverlap="1" wp14:anchorId="156AF253" wp14:editId="42DF26A7">
                  <wp:simplePos x="0" y="0"/>
                  <wp:positionH relativeFrom="margin">
                    <wp:align>right</wp:align>
                  </wp:positionH>
                  <wp:positionV relativeFrom="margin">
                    <wp:align>center</wp:align>
                  </wp:positionV>
                  <wp:extent cx="123825" cy="314325"/>
                  <wp:effectExtent l="0" t="0" r="0" b="0"/>
                  <wp:wrapSquare wrapText="bothSides"/>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A3402" w:rsidRPr="00B66467" w:rsidRDefault="00DA3402" w:rsidP="00750327">
            <w:pPr>
              <w:autoSpaceDE w:val="0"/>
              <w:autoSpaceDN w:val="0"/>
              <w:adjustRightInd w:val="0"/>
              <w:spacing w:after="0"/>
              <w:rPr>
                <w:b/>
              </w:rPr>
            </w:pPr>
            <w:r w:rsidRPr="00B66467">
              <w:rPr>
                <w:i/>
                <w:iCs/>
              </w:rPr>
              <w:t xml:space="preserve">   Procedimento: </w:t>
            </w:r>
            <w:r w:rsidRPr="00B66467">
              <w:t xml:space="preserve">conforme descrito em </w:t>
            </w:r>
            <w:r w:rsidRPr="00B66467">
              <w:rPr>
                <w:i/>
                <w:iCs/>
              </w:rPr>
              <w:t xml:space="preserve">Comprimidos </w:t>
            </w:r>
            <w:r w:rsidRPr="00B66467">
              <w:rPr>
                <w:b/>
                <w:bCs/>
              </w:rPr>
              <w:t>(12.1.2.2)</w:t>
            </w:r>
            <w:r w:rsidRPr="00B66467">
              <w:t xml:space="preserve">. </w:t>
            </w:r>
          </w:p>
        </w:tc>
      </w:tr>
      <w:tr w:rsidR="00DA3402" w:rsidRPr="00B66467" w:rsidTr="00B66467">
        <w:trPr>
          <w:trHeight w:val="574"/>
          <w:jc w:val="center"/>
        </w:trPr>
        <w:tc>
          <w:tcPr>
            <w:tcW w:w="794" w:type="dxa"/>
            <w:vMerge w:val="restart"/>
          </w:tcPr>
          <w:p w:rsidR="00DA3402" w:rsidRPr="00B66467" w:rsidRDefault="00DA3402" w:rsidP="00750327">
            <w:pPr>
              <w:spacing w:after="0"/>
            </w:pPr>
            <w:r w:rsidRPr="00B66467">
              <w:lastRenderedPageBreak/>
              <w:t>84</w:t>
            </w:r>
          </w:p>
        </w:tc>
        <w:tc>
          <w:tcPr>
            <w:tcW w:w="2219" w:type="dxa"/>
            <w:vMerge w:val="restart"/>
          </w:tcPr>
          <w:p w:rsidR="00DA3402" w:rsidRPr="00B66467" w:rsidRDefault="00DA3402" w:rsidP="00750327">
            <w:pPr>
              <w:spacing w:after="0"/>
            </w:pPr>
            <w:r w:rsidRPr="00B66467">
              <w:rPr>
                <w:bCs/>
              </w:rPr>
              <w:t>12.2.1 FORMAS FARMACÊUTICAS LÍQUIDAS</w:t>
            </w:r>
          </w:p>
        </w:tc>
        <w:tc>
          <w:tcPr>
            <w:tcW w:w="2006" w:type="dxa"/>
            <w:vMerge w:val="restart"/>
          </w:tcPr>
          <w:p w:rsidR="00DA3402" w:rsidRPr="00B66467" w:rsidRDefault="00DA3402" w:rsidP="00750327">
            <w:pPr>
              <w:spacing w:after="0"/>
              <w:rPr>
                <w:b/>
              </w:rPr>
            </w:pPr>
            <w:r w:rsidRPr="00B66467">
              <w:rPr>
                <w:b/>
              </w:rPr>
              <w:t>12.2.1.3 PREPARAÇÕES OFTÁLMICAS</w:t>
            </w:r>
          </w:p>
          <w:p w:rsidR="00DA3402" w:rsidRPr="00B66467" w:rsidRDefault="00DA3402" w:rsidP="00750327">
            <w:pPr>
              <w:spacing w:after="0"/>
              <w:rPr>
                <w:b/>
              </w:rPr>
            </w:pPr>
            <w:r w:rsidRPr="00B66467">
              <w:rPr>
                <w:b/>
              </w:rPr>
              <w:t>(Técnica)</w:t>
            </w:r>
          </w:p>
        </w:tc>
        <w:tc>
          <w:tcPr>
            <w:tcW w:w="3622" w:type="dxa"/>
            <w:tcBorders>
              <w:bottom w:val="nil"/>
            </w:tcBorders>
          </w:tcPr>
          <w:p w:rsidR="00DA3402" w:rsidRPr="00B66467" w:rsidRDefault="00DA3402" w:rsidP="00750327">
            <w:pPr>
              <w:autoSpaceDE w:val="0"/>
              <w:autoSpaceDN w:val="0"/>
              <w:adjustRightInd w:val="0"/>
              <w:spacing w:after="0"/>
              <w:jc w:val="both"/>
            </w:pPr>
            <w:r w:rsidRPr="00B66467">
              <w:rPr>
                <w:b/>
              </w:rPr>
              <w:t xml:space="preserve">Onde se lê: </w:t>
            </w:r>
            <w:r w:rsidRPr="00B66467">
              <w:t>“Na esterilização das preparações oftálmicas homeopáticas não serão permitidos os seguintes</w:t>
            </w:r>
          </w:p>
        </w:tc>
      </w:tr>
      <w:tr w:rsidR="00DA3402" w:rsidRPr="00B66467" w:rsidTr="00B66467">
        <w:trPr>
          <w:trHeight w:val="547"/>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bottom w:val="nil"/>
            </w:tcBorders>
          </w:tcPr>
          <w:p w:rsidR="00DA3402" w:rsidRPr="00B66467" w:rsidRDefault="00DA3402" w:rsidP="00750327">
            <w:pPr>
              <w:autoSpaceDE w:val="0"/>
              <w:autoSpaceDN w:val="0"/>
              <w:adjustRightInd w:val="0"/>
              <w:spacing w:after="0"/>
              <w:jc w:val="both"/>
              <w:rPr>
                <w:b/>
              </w:rPr>
            </w:pPr>
            <w:r w:rsidRPr="00B66467">
              <w:t xml:space="preserve"> </w:t>
            </w:r>
            <w:proofErr w:type="gramStart"/>
            <w:r w:rsidRPr="00B66467">
              <w:t>métodos</w:t>
            </w:r>
            <w:proofErr w:type="gramEnd"/>
            <w:r w:rsidRPr="00B66467">
              <w:t xml:space="preserve">: calor úmido, calor seco, radiação ionizante e por gás esterilizante.” </w:t>
            </w:r>
          </w:p>
        </w:tc>
      </w:tr>
      <w:tr w:rsidR="00DA3402" w:rsidRPr="00B66467" w:rsidTr="00B66467">
        <w:trPr>
          <w:trHeight w:val="921"/>
          <w:jc w:val="center"/>
        </w:trPr>
        <w:tc>
          <w:tcPr>
            <w:tcW w:w="794" w:type="dxa"/>
            <w:vMerge/>
          </w:tcPr>
          <w:p w:rsidR="00DA3402" w:rsidRPr="00B66467" w:rsidRDefault="00DA3402" w:rsidP="00750327">
            <w:pPr>
              <w:spacing w:after="0"/>
            </w:pPr>
          </w:p>
        </w:tc>
        <w:tc>
          <w:tcPr>
            <w:tcW w:w="2219" w:type="dxa"/>
            <w:vMerge/>
          </w:tcPr>
          <w:p w:rsidR="00DA3402" w:rsidRPr="00B66467" w:rsidRDefault="00DA3402" w:rsidP="00750327">
            <w:pPr>
              <w:spacing w:after="0"/>
              <w:rPr>
                <w:bCs/>
              </w:rPr>
            </w:pPr>
          </w:p>
        </w:tc>
        <w:tc>
          <w:tcPr>
            <w:tcW w:w="2006" w:type="dxa"/>
            <w:vMerge/>
          </w:tcPr>
          <w:p w:rsidR="00DA3402" w:rsidRPr="00B66467" w:rsidRDefault="00DA3402" w:rsidP="00750327">
            <w:pPr>
              <w:spacing w:after="0"/>
              <w:rPr>
                <w:b/>
              </w:rPr>
            </w:pPr>
          </w:p>
        </w:tc>
        <w:tc>
          <w:tcPr>
            <w:tcW w:w="3622" w:type="dxa"/>
            <w:tcBorders>
              <w:top w:val="nil"/>
            </w:tcBorders>
          </w:tcPr>
          <w:p w:rsidR="00DA3402" w:rsidRPr="00B66467" w:rsidRDefault="00DA3402" w:rsidP="00750327">
            <w:pPr>
              <w:autoSpaceDE w:val="0"/>
              <w:autoSpaceDN w:val="0"/>
              <w:adjustRightInd w:val="0"/>
              <w:spacing w:after="0"/>
              <w:jc w:val="both"/>
            </w:pPr>
            <w:r w:rsidRPr="00B66467">
              <w:rPr>
                <w:b/>
              </w:rPr>
              <w:t xml:space="preserve">Leia-se: </w:t>
            </w:r>
            <w:r w:rsidRPr="00B66467">
              <w:t xml:space="preserve">“Na esterilização das preparações oftálmicas homeopáticas não serão permitidos os seguintes métodos: calor úmido, calor seco, radiação ionizante e gás </w:t>
            </w:r>
            <w:proofErr w:type="gramStart"/>
            <w:r w:rsidRPr="00B66467">
              <w:t>esterilizante.”</w:t>
            </w:r>
            <w:proofErr w:type="gramEnd"/>
            <w:r w:rsidRPr="00B66467">
              <w:t xml:space="preserve"> </w:t>
            </w:r>
          </w:p>
        </w:tc>
      </w:tr>
    </w:tbl>
    <w:p w:rsidR="00DA3402" w:rsidRPr="00B66467" w:rsidRDefault="00DA3402" w:rsidP="00DA3402">
      <w:pPr>
        <w:spacing w:before="0" w:beforeAutospacing="0" w:after="0" w:afterAutospacing="0"/>
        <w:rPr>
          <w:b/>
          <w:bCs/>
          <w:color w:val="003366"/>
        </w:rPr>
      </w:pPr>
    </w:p>
    <w:p w:rsidR="00203E1E" w:rsidRPr="00B66467" w:rsidRDefault="00203E1E"/>
    <w:sectPr w:rsidR="00203E1E" w:rsidRPr="00B6646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467" w:rsidRDefault="00B66467" w:rsidP="00B66467">
      <w:pPr>
        <w:spacing w:before="0" w:after="0"/>
      </w:pPr>
      <w:r>
        <w:separator/>
      </w:r>
    </w:p>
  </w:endnote>
  <w:endnote w:type="continuationSeparator" w:id="0">
    <w:p w:rsidR="00B66467" w:rsidRDefault="00B66467" w:rsidP="00B664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467" w:rsidRPr="00B66467" w:rsidRDefault="00B66467" w:rsidP="00B66467">
    <w:pPr>
      <w:tabs>
        <w:tab w:val="center" w:pos="4252"/>
        <w:tab w:val="right" w:pos="8504"/>
      </w:tabs>
      <w:spacing w:after="0"/>
      <w:jc w:val="center"/>
      <w:rPr>
        <w:rFonts w:ascii="Calibri" w:eastAsia="Times New Roman" w:hAnsi="Calibri"/>
      </w:rPr>
    </w:pPr>
    <w:r w:rsidRPr="00B517AC">
      <w:rPr>
        <w:rFonts w:ascii="Calibri" w:eastAsia="Times New Roman" w:hAnsi="Calibri"/>
        <w:color w:val="943634"/>
      </w:rPr>
      <w:t xml:space="preserve">Este texto não substitui </w:t>
    </w:r>
    <w:proofErr w:type="gramStart"/>
    <w:r w:rsidRPr="00B517AC">
      <w:rPr>
        <w:rFonts w:ascii="Calibri" w:eastAsia="Times New Roman" w:hAnsi="Calibri"/>
        <w:color w:val="943634"/>
      </w:rPr>
      <w:t>o(</w:t>
    </w:r>
    <w:proofErr w:type="gramEnd"/>
    <w:r w:rsidRPr="00B517AC">
      <w:rPr>
        <w:rFonts w:ascii="Calibri" w:eastAsia="Times New Roman" w:hAnsi="Calibri"/>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467" w:rsidRDefault="00B66467" w:rsidP="00B66467">
      <w:pPr>
        <w:spacing w:before="0" w:after="0"/>
      </w:pPr>
      <w:r>
        <w:separator/>
      </w:r>
    </w:p>
  </w:footnote>
  <w:footnote w:type="continuationSeparator" w:id="0">
    <w:p w:rsidR="00B66467" w:rsidRDefault="00B66467" w:rsidP="00B6646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467" w:rsidRPr="00B66467" w:rsidRDefault="00B66467" w:rsidP="00B66467">
    <w:pPr>
      <w:tabs>
        <w:tab w:val="center" w:pos="4252"/>
        <w:tab w:val="right" w:pos="8504"/>
      </w:tabs>
      <w:spacing w:before="0" w:beforeAutospacing="0" w:after="0" w:afterAutospacing="0"/>
      <w:jc w:val="center"/>
      <w:rPr>
        <w:rFonts w:ascii="Calibri" w:eastAsia="Times New Roman" w:hAnsi="Calibri"/>
        <w:sz w:val="22"/>
        <w:szCs w:val="22"/>
        <w:lang w:eastAsia="en-US"/>
      </w:rPr>
    </w:pPr>
    <w:r w:rsidRPr="00B66467">
      <w:rPr>
        <w:rFonts w:ascii="Calibri" w:eastAsia="Times New Roman" w:hAnsi="Calibri"/>
        <w:noProof/>
        <w:sz w:val="22"/>
        <w:szCs w:val="22"/>
      </w:rPr>
      <w:drawing>
        <wp:inline distT="0" distB="0" distL="0" distR="0" wp14:anchorId="0A5ABE62" wp14:editId="564673B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66467" w:rsidRPr="00B66467" w:rsidRDefault="00B66467" w:rsidP="00B66467">
    <w:pPr>
      <w:tabs>
        <w:tab w:val="center" w:pos="4252"/>
        <w:tab w:val="right" w:pos="8504"/>
      </w:tabs>
      <w:spacing w:before="0" w:beforeAutospacing="0" w:after="0" w:afterAutospacing="0"/>
      <w:jc w:val="center"/>
      <w:rPr>
        <w:rFonts w:ascii="Calibri" w:eastAsia="Times New Roman" w:hAnsi="Calibri"/>
        <w:b/>
        <w:szCs w:val="22"/>
        <w:lang w:eastAsia="en-US"/>
      </w:rPr>
    </w:pPr>
    <w:r w:rsidRPr="00B66467">
      <w:rPr>
        <w:rFonts w:ascii="Calibri" w:eastAsia="Times New Roman" w:hAnsi="Calibri"/>
        <w:b/>
        <w:szCs w:val="22"/>
        <w:lang w:eastAsia="en-US"/>
      </w:rPr>
      <w:t>Ministério da Saúde - MS</w:t>
    </w:r>
  </w:p>
  <w:p w:rsidR="00B66467" w:rsidRDefault="00B66467" w:rsidP="00B66467">
    <w:pPr>
      <w:tabs>
        <w:tab w:val="center" w:pos="4252"/>
        <w:tab w:val="right" w:pos="8504"/>
      </w:tabs>
      <w:spacing w:before="0" w:beforeAutospacing="0" w:after="0" w:afterAutospacing="0"/>
      <w:jc w:val="center"/>
      <w:rPr>
        <w:rFonts w:ascii="Calibri" w:eastAsia="Times New Roman" w:hAnsi="Calibri"/>
        <w:b/>
        <w:szCs w:val="22"/>
        <w:lang w:eastAsia="en-US"/>
      </w:rPr>
    </w:pPr>
    <w:r w:rsidRPr="00B66467">
      <w:rPr>
        <w:rFonts w:ascii="Calibri" w:eastAsia="Times New Roman" w:hAnsi="Calibri"/>
        <w:b/>
        <w:szCs w:val="22"/>
        <w:lang w:eastAsia="en-US"/>
      </w:rPr>
      <w:t xml:space="preserve">Agência Nacional de Vigilância Sanitária </w:t>
    </w:r>
    <w:r>
      <w:rPr>
        <w:rFonts w:ascii="Calibri" w:eastAsia="Times New Roman" w:hAnsi="Calibri"/>
        <w:b/>
        <w:szCs w:val="22"/>
        <w:lang w:eastAsia="en-US"/>
      </w:rPr>
      <w:t>–</w:t>
    </w:r>
    <w:r w:rsidRPr="00B66467">
      <w:rPr>
        <w:rFonts w:ascii="Calibri" w:eastAsia="Times New Roman" w:hAnsi="Calibri"/>
        <w:b/>
        <w:szCs w:val="22"/>
        <w:lang w:eastAsia="en-US"/>
      </w:rPr>
      <w:t xml:space="preserve"> ANVISA</w:t>
    </w:r>
  </w:p>
  <w:p w:rsidR="00B66467" w:rsidRPr="00B66467" w:rsidRDefault="00B66467" w:rsidP="00B66467">
    <w:pPr>
      <w:tabs>
        <w:tab w:val="center" w:pos="4252"/>
        <w:tab w:val="right" w:pos="8504"/>
      </w:tabs>
      <w:spacing w:before="0" w:beforeAutospacing="0" w:after="0" w:afterAutospacing="0"/>
      <w:jc w:val="center"/>
      <w:rPr>
        <w:rFonts w:ascii="Calibri" w:eastAsia="Times New Roman"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02"/>
    <w:rsid w:val="00203E1E"/>
    <w:rsid w:val="00453AA0"/>
    <w:rsid w:val="004A6AE6"/>
    <w:rsid w:val="00A12DBA"/>
    <w:rsid w:val="00B66467"/>
    <w:rsid w:val="00DA34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B06BF"/>
  <w15:chartTrackingRefBased/>
  <w15:docId w15:val="{1985425A-5026-452E-A0D0-7B4674C8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A3402"/>
    <w:pPr>
      <w:spacing w:before="100" w:beforeAutospacing="1" w:after="100" w:afterAutospacing="1"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DA3402"/>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rsid w:val="00DA3402"/>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A3402"/>
    <w:rPr>
      <w:rFonts w:ascii="Arial" w:eastAsiaTheme="minorEastAsia" w:hAnsi="Arial" w:cs="Arial"/>
      <w:b/>
      <w:bCs/>
      <w:caps/>
      <w:color w:val="000000"/>
      <w:kern w:val="36"/>
      <w:sz w:val="23"/>
      <w:szCs w:val="23"/>
      <w:lang w:eastAsia="pt-BR"/>
    </w:rPr>
  </w:style>
  <w:style w:type="character" w:customStyle="1" w:styleId="Ttulo2Char">
    <w:name w:val="Título 2 Char"/>
    <w:basedOn w:val="Fontepargpadro"/>
    <w:link w:val="Ttulo2"/>
    <w:uiPriority w:val="9"/>
    <w:rsid w:val="00DA3402"/>
    <w:rPr>
      <w:rFonts w:ascii="Arial" w:eastAsiaTheme="minorEastAsia" w:hAnsi="Arial" w:cs="Arial"/>
      <w:b/>
      <w:bCs/>
      <w:color w:val="000000"/>
      <w:sz w:val="21"/>
      <w:szCs w:val="21"/>
      <w:lang w:eastAsia="pt-BR"/>
    </w:rPr>
  </w:style>
  <w:style w:type="paragraph" w:styleId="Cabealho">
    <w:name w:val="header"/>
    <w:basedOn w:val="Normal"/>
    <w:link w:val="CabealhoChar"/>
    <w:uiPriority w:val="99"/>
    <w:unhideWhenUsed/>
    <w:rsid w:val="00B66467"/>
    <w:pPr>
      <w:tabs>
        <w:tab w:val="center" w:pos="4252"/>
        <w:tab w:val="right" w:pos="8504"/>
      </w:tabs>
      <w:spacing w:before="0" w:after="0"/>
    </w:pPr>
  </w:style>
  <w:style w:type="character" w:customStyle="1" w:styleId="CabealhoChar">
    <w:name w:val="Cabeçalho Char"/>
    <w:basedOn w:val="Fontepargpadro"/>
    <w:link w:val="Cabealho"/>
    <w:uiPriority w:val="99"/>
    <w:rsid w:val="00B66467"/>
    <w:rPr>
      <w:rFonts w:ascii="Times New Roman" w:eastAsiaTheme="minorEastAsia" w:hAnsi="Times New Roman" w:cs="Times New Roman"/>
      <w:sz w:val="24"/>
      <w:szCs w:val="24"/>
      <w:lang w:eastAsia="pt-BR"/>
    </w:rPr>
  </w:style>
  <w:style w:type="paragraph" w:styleId="Rodap">
    <w:name w:val="footer"/>
    <w:basedOn w:val="Normal"/>
    <w:link w:val="RodapChar"/>
    <w:uiPriority w:val="99"/>
    <w:unhideWhenUsed/>
    <w:rsid w:val="00B66467"/>
    <w:pPr>
      <w:tabs>
        <w:tab w:val="center" w:pos="4252"/>
        <w:tab w:val="right" w:pos="8504"/>
      </w:tabs>
      <w:spacing w:before="0" w:after="0"/>
    </w:pPr>
  </w:style>
  <w:style w:type="character" w:customStyle="1" w:styleId="RodapChar">
    <w:name w:val="Rodapé Char"/>
    <w:basedOn w:val="Fontepargpadro"/>
    <w:link w:val="Rodap"/>
    <w:uiPriority w:val="99"/>
    <w:rsid w:val="00B66467"/>
    <w:rPr>
      <w:rFonts w:ascii="Times New Roman" w:eastAsiaTheme="minorEastAsia"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402066-D8D8-43FB-9741-2ECE63C8525F}"/>
</file>

<file path=customXml/itemProps2.xml><?xml version="1.0" encoding="utf-8"?>
<ds:datastoreItem xmlns:ds="http://schemas.openxmlformats.org/officeDocument/2006/customXml" ds:itemID="{3F5172F8-510C-4B6E-85B6-BABE1AF73879}"/>
</file>

<file path=customXml/itemProps3.xml><?xml version="1.0" encoding="utf-8"?>
<ds:datastoreItem xmlns:ds="http://schemas.openxmlformats.org/officeDocument/2006/customXml" ds:itemID="{AC4A1ED2-E4A2-41A4-8E30-E9DEF8D27E2D}"/>
</file>

<file path=docProps/app.xml><?xml version="1.0" encoding="utf-8"?>
<Properties xmlns="http://schemas.openxmlformats.org/officeDocument/2006/extended-properties" xmlns:vt="http://schemas.openxmlformats.org/officeDocument/2006/docPropsVTypes">
  <Template>Normal</Template>
  <TotalTime>3</TotalTime>
  <Pages>5</Pages>
  <Words>1001</Words>
  <Characters>5410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Raianne Liberal Coutinho</dc:creator>
  <cp:keywords/>
  <dc:description/>
  <cp:lastModifiedBy>Raianne Liberal Coutinho</cp:lastModifiedBy>
  <cp:revision>2</cp:revision>
  <cp:lastPrinted>2017-11-18T15:35:00Z</cp:lastPrinted>
  <dcterms:created xsi:type="dcterms:W3CDTF">2017-11-18T15:33:00Z</dcterms:created>
  <dcterms:modified xsi:type="dcterms:W3CDTF">2017-11-18T15:36:00Z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