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9F" w:rsidRDefault="006C129F" w:rsidP="0044641D">
      <w:pPr>
        <w:pStyle w:val="Ttulo1"/>
        <w:spacing w:before="0" w:beforeAutospacing="0" w:after="200" w:afterAutospacing="0"/>
        <w:ind w:left="-567" w:right="-568"/>
        <w:divId w:val="247465942"/>
        <w:rPr>
          <w:rFonts w:ascii="Times New Roman" w:hAnsi="Times New Roman" w:cs="Times New Roman"/>
          <w:sz w:val="24"/>
          <w:szCs w:val="24"/>
        </w:rPr>
      </w:pPr>
      <w:bookmarkStart w:id="0" w:name="_GoBack"/>
      <w:bookmarkEnd w:id="0"/>
      <w:r w:rsidRPr="00F15752">
        <w:rPr>
          <w:rFonts w:ascii="Times New Roman" w:hAnsi="Times New Roman" w:cs="Times New Roman"/>
          <w:sz w:val="24"/>
          <w:szCs w:val="24"/>
        </w:rPr>
        <w:t>RESOLUÇÃO DA DIRETORIA COLEGIADA - RDC Nº 27, DE 15 DE MAIO DE 2013</w:t>
      </w:r>
    </w:p>
    <w:p w:rsidR="0044641D" w:rsidRPr="0044641D" w:rsidRDefault="0044641D" w:rsidP="00F15752">
      <w:pPr>
        <w:pStyle w:val="Ttulo1"/>
        <w:spacing w:before="0" w:beforeAutospacing="0" w:after="200" w:afterAutospacing="0"/>
        <w:divId w:val="247465942"/>
        <w:rPr>
          <w:rFonts w:ascii="Times New Roman" w:hAnsi="Times New Roman" w:cs="Times New Roman"/>
          <w:color w:val="0000FF"/>
          <w:sz w:val="24"/>
          <w:szCs w:val="24"/>
        </w:rPr>
      </w:pPr>
      <w:r w:rsidRPr="0044641D">
        <w:rPr>
          <w:rFonts w:ascii="Times New Roman" w:hAnsi="Times New Roman" w:cs="Times New Roman"/>
          <w:caps w:val="0"/>
          <w:color w:val="0000FF"/>
          <w:sz w:val="24"/>
          <w:szCs w:val="24"/>
        </w:rPr>
        <w:t>(Publicada no DOU nº 94, de 17 de maio de 2013)</w:t>
      </w:r>
    </w:p>
    <w:p w:rsidR="006C129F" w:rsidRPr="00F15752" w:rsidRDefault="006C129F" w:rsidP="00F15752">
      <w:pPr>
        <w:autoSpaceDE w:val="0"/>
        <w:autoSpaceDN w:val="0"/>
        <w:adjustRightInd w:val="0"/>
        <w:spacing w:before="0" w:beforeAutospacing="0" w:after="200" w:afterAutospacing="0"/>
        <w:ind w:left="3969"/>
        <w:jc w:val="both"/>
        <w:divId w:val="247465942"/>
        <w:rPr>
          <w:rStyle w:val="edtextoedtexto"/>
        </w:rPr>
      </w:pPr>
      <w:r w:rsidRPr="00F15752">
        <w:rPr>
          <w:rStyle w:val="edtextoedtexto"/>
        </w:rPr>
        <w:t xml:space="preserve">Institui </w:t>
      </w:r>
      <w:r w:rsidRPr="00F15752">
        <w:t>o protocolo eletrônico para e</w:t>
      </w:r>
      <w:r w:rsidRPr="00F15752">
        <w:rPr>
          <w:rStyle w:val="edtextoedtexto"/>
        </w:rPr>
        <w:t>missão de Certificado de Produto (Certificado de Cadastro ou Registro de</w:t>
      </w:r>
      <w:r w:rsidRPr="00F15752">
        <w:t xml:space="preserve"> Produto para a Saúde</w:t>
      </w:r>
      <w:r w:rsidRPr="00F15752">
        <w:rPr>
          <w:rStyle w:val="edtextoedtexto"/>
        </w:rPr>
        <w:t>) e Certidão para Governo Estrangeiro (</w:t>
      </w:r>
      <w:r w:rsidRPr="00F15752">
        <w:t>Certidão de Cadastro ou Registro para Exportação de Produto para a Saúde)</w:t>
      </w:r>
      <w:r w:rsidRPr="00F15752">
        <w:rPr>
          <w:rStyle w:val="edtextoedtexto"/>
        </w:rPr>
        <w:t>.</w:t>
      </w:r>
    </w:p>
    <w:p w:rsidR="006C129F" w:rsidRPr="00F15752" w:rsidRDefault="006C129F" w:rsidP="00F15752">
      <w:pPr>
        <w:spacing w:before="0" w:beforeAutospacing="0" w:after="200" w:afterAutospacing="0"/>
        <w:ind w:firstLine="567"/>
        <w:jc w:val="both"/>
        <w:divId w:val="247465942"/>
      </w:pPr>
      <w:r w:rsidRPr="00F15752">
        <w:t xml:space="preserve">A </w:t>
      </w:r>
      <w:r w:rsidRPr="00F15752">
        <w:rPr>
          <w:b/>
          <w:bCs/>
        </w:rPr>
        <w:t>Diretoria Colegiada da Agência Nacional de Vigilância Sanitária</w:t>
      </w:r>
      <w:r w:rsidRPr="00F15752">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16 de abril de 2013 , adota a seguinte Resolução da Diretoria Colegiada e eu, Diretor-Presidente Substituto, determino a sua publicação:</w:t>
      </w:r>
      <w:r w:rsidR="0044641D">
        <w:t>1705</w:t>
      </w:r>
      <w:r w:rsidR="0044641D">
        <w:tab/>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CAPÍTULO I</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DAS DISPOSIÇÕES INICIAIS</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Seção I</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Objeto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 xml:space="preserve">Art. 1º Esta Resolução </w:t>
      </w:r>
      <w:r w:rsidRPr="00F15752">
        <w:rPr>
          <w:rStyle w:val="edtextoedtexto"/>
        </w:rPr>
        <w:t xml:space="preserve">institui </w:t>
      </w:r>
      <w:r w:rsidRPr="00F15752">
        <w:t>o protocolo eletrônico para e</w:t>
      </w:r>
      <w:r w:rsidRPr="00F15752">
        <w:rPr>
          <w:rStyle w:val="edtextoedtexto"/>
        </w:rPr>
        <w:t>missão de Certificado de Produto (Certificado de Cadastro ou Registro de</w:t>
      </w:r>
      <w:r w:rsidRPr="00F15752">
        <w:t xml:space="preserve"> Produto para a Saúde</w:t>
      </w:r>
      <w:r w:rsidRPr="00F15752">
        <w:rPr>
          <w:rStyle w:val="edtextoedtexto"/>
        </w:rPr>
        <w:t>) e Certidão para Governo Estrangeiro (</w:t>
      </w:r>
      <w:r w:rsidRPr="00F15752">
        <w:t>Certidão de Cadastro ou Registro para Exportação de Produto para Saúde), conforme modelos constantes dos Anexos I e II.</w:t>
      </w:r>
    </w:p>
    <w:p w:rsidR="006C129F" w:rsidRPr="00F15752" w:rsidRDefault="006C129F" w:rsidP="0044641D">
      <w:pPr>
        <w:pStyle w:val="NormalWeb"/>
        <w:spacing w:before="0" w:beforeAutospacing="0" w:after="200" w:afterAutospacing="0"/>
        <w:ind w:firstLine="0"/>
        <w:jc w:val="center"/>
        <w:divId w:val="247465942"/>
        <w:rPr>
          <w:rFonts w:ascii="Times New Roman" w:hAnsi="Times New Roman" w:cs="Times New Roman"/>
          <w:b/>
          <w:sz w:val="24"/>
          <w:szCs w:val="24"/>
        </w:rPr>
      </w:pPr>
      <w:r w:rsidRPr="00F15752">
        <w:rPr>
          <w:rFonts w:ascii="Times New Roman" w:hAnsi="Times New Roman" w:cs="Times New Roman"/>
          <w:b/>
          <w:sz w:val="24"/>
          <w:szCs w:val="24"/>
        </w:rPr>
        <w:t>Seção II</w:t>
      </w:r>
    </w:p>
    <w:p w:rsidR="006C129F" w:rsidRPr="00F15752" w:rsidRDefault="006C129F" w:rsidP="0044641D">
      <w:pPr>
        <w:pStyle w:val="NormalWeb"/>
        <w:spacing w:before="0" w:beforeAutospacing="0" w:after="200" w:afterAutospacing="0"/>
        <w:ind w:firstLine="0"/>
        <w:jc w:val="center"/>
        <w:divId w:val="247465942"/>
        <w:rPr>
          <w:rFonts w:ascii="Times New Roman" w:hAnsi="Times New Roman" w:cs="Times New Roman"/>
          <w:b/>
          <w:sz w:val="24"/>
          <w:szCs w:val="24"/>
        </w:rPr>
      </w:pPr>
      <w:r w:rsidRPr="00F15752">
        <w:rPr>
          <w:rFonts w:ascii="Times New Roman" w:hAnsi="Times New Roman" w:cs="Times New Roman"/>
          <w:b/>
          <w:sz w:val="24"/>
          <w:szCs w:val="24"/>
        </w:rPr>
        <w:t>Definições</w:t>
      </w:r>
    </w:p>
    <w:p w:rsidR="006C129F" w:rsidRPr="00F15752" w:rsidRDefault="006C129F" w:rsidP="00F15752">
      <w:pPr>
        <w:pStyle w:val="NormalWeb"/>
        <w:spacing w:before="0" w:beforeAutospacing="0" w:after="200" w:afterAutospacing="0"/>
        <w:ind w:firstLine="709"/>
        <w:divId w:val="247465942"/>
        <w:rPr>
          <w:rFonts w:ascii="Times New Roman" w:hAnsi="Times New Roman" w:cs="Times New Roman"/>
          <w:sz w:val="24"/>
          <w:szCs w:val="24"/>
        </w:rPr>
      </w:pPr>
      <w:r w:rsidRPr="00F15752">
        <w:rPr>
          <w:rFonts w:ascii="Times New Roman" w:hAnsi="Times New Roman" w:cs="Times New Roman"/>
          <w:sz w:val="24"/>
          <w:szCs w:val="24"/>
        </w:rPr>
        <w:t>Art. 2º Para efeito desta Resolução consideram-se as seguintes definições: </w:t>
      </w:r>
    </w:p>
    <w:p w:rsidR="006C129F" w:rsidRPr="00F15752" w:rsidRDefault="006C129F" w:rsidP="00F15752">
      <w:pPr>
        <w:pStyle w:val="NormalWeb"/>
        <w:spacing w:before="0" w:beforeAutospacing="0" w:after="200" w:afterAutospacing="0"/>
        <w:ind w:firstLine="709"/>
        <w:divId w:val="247465942"/>
        <w:rPr>
          <w:rFonts w:ascii="Times New Roman" w:hAnsi="Times New Roman" w:cs="Times New Roman"/>
          <w:sz w:val="24"/>
          <w:szCs w:val="24"/>
        </w:rPr>
      </w:pPr>
      <w:r w:rsidRPr="00F15752">
        <w:rPr>
          <w:rFonts w:ascii="Times New Roman" w:hAnsi="Times New Roman" w:cs="Times New Roman"/>
          <w:sz w:val="24"/>
          <w:szCs w:val="24"/>
        </w:rPr>
        <w:t>I - certidão para governo estrangeiro: documento declaratório emitido pela ANVISA, com finalidade exclusiva de exportação, contendo informações sobre determinado produto para a saúde cadastrado ou registrado no Brasil;</w:t>
      </w:r>
    </w:p>
    <w:p w:rsidR="006C129F" w:rsidRPr="00F15752" w:rsidRDefault="006C129F" w:rsidP="00F15752">
      <w:pPr>
        <w:pStyle w:val="NormalWeb"/>
        <w:spacing w:before="0" w:beforeAutospacing="0" w:after="200" w:afterAutospacing="0"/>
        <w:ind w:firstLine="709"/>
        <w:divId w:val="247465942"/>
        <w:rPr>
          <w:rFonts w:ascii="Times New Roman" w:hAnsi="Times New Roman" w:cs="Times New Roman"/>
          <w:sz w:val="24"/>
          <w:szCs w:val="24"/>
        </w:rPr>
      </w:pPr>
      <w:r w:rsidRPr="00F15752">
        <w:rPr>
          <w:rFonts w:ascii="Times New Roman" w:hAnsi="Times New Roman" w:cs="Times New Roman"/>
          <w:sz w:val="24"/>
          <w:szCs w:val="24"/>
        </w:rPr>
        <w:t>II - certificado de produto: documento declaratório emitido pela ANVISA contendo informações sobre determinado produto para a saúde cadastrado ou registrado no Brasil;</w:t>
      </w:r>
    </w:p>
    <w:p w:rsidR="006C129F" w:rsidRPr="00F15752" w:rsidRDefault="006C129F" w:rsidP="00F15752">
      <w:pPr>
        <w:pStyle w:val="NormalWeb"/>
        <w:spacing w:before="0" w:beforeAutospacing="0" w:after="200" w:afterAutospacing="0"/>
        <w:ind w:firstLine="709"/>
        <w:divId w:val="247465942"/>
        <w:rPr>
          <w:rFonts w:ascii="Times New Roman" w:hAnsi="Times New Roman" w:cs="Times New Roman"/>
          <w:sz w:val="24"/>
          <w:szCs w:val="24"/>
        </w:rPr>
      </w:pPr>
      <w:r w:rsidRPr="00F15752">
        <w:rPr>
          <w:rFonts w:ascii="Times New Roman" w:hAnsi="Times New Roman" w:cs="Times New Roman"/>
          <w:sz w:val="24"/>
          <w:szCs w:val="24"/>
        </w:rPr>
        <w:lastRenderedPageBreak/>
        <w:t>III - nome comercial: designação do produto, para distingui-lo de outros, ainda que do mesmo fabricante ou da mesma espécie, qualidade ou natureza;</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IV - peticionamento eletrônico: pedido realizado em ambiente virtual, por meio do formulário de petição, identificado por um número de transação, cujo assunto é objeto de controle e fiscalização da ANVISA;</w:t>
      </w:r>
    </w:p>
    <w:p w:rsidR="006C129F" w:rsidRPr="00F15752" w:rsidRDefault="006C129F" w:rsidP="0044641D">
      <w:pPr>
        <w:autoSpaceDE w:val="0"/>
        <w:autoSpaceDN w:val="0"/>
        <w:adjustRightInd w:val="0"/>
        <w:spacing w:before="0" w:beforeAutospacing="0" w:after="200" w:afterAutospacing="0"/>
        <w:ind w:firstLine="709"/>
        <w:jc w:val="both"/>
        <w:divId w:val="247465942"/>
      </w:pPr>
      <w:r w:rsidRPr="00F15752">
        <w:t xml:space="preserve">V - petição eletrônica: petição selecionada durante o peticionamento eletrônico, realizada em ambiente exclusivamente virtual, sem necessidade de envio à Agência dos documentos em papel, cujos dados são diretamente enviados ao sistema de informações da </w:t>
      </w:r>
      <w:r w:rsidR="0044641D">
        <w:t>ANVISA</w:t>
      </w:r>
      <w:r w:rsidRPr="00F15752">
        <w:t>; e</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VI - protocolo eletrônico: recebimento da petição pela ANVISA em ambiente exclusivamente virtual, sem necessidade de envio da documentação em papel à ANVISA.</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CAPÍTULO II</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DISPOSIÇÕES GERAIS</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 3º Os documentos de que trata esta Resolução serão válidos até a data de vencimento do cadastro ou registro do produto, exceto quando, houver a cassação do cadastro ou registro sanitário, hipótese em que este Certificado ou Certidão também serão invalidados.</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 4º A emissão de Certificado de Produto ou Certidão para Governo Estrangeiro, configura ato administrativo declaratório.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Art.5º Verificadas inconsistências nas informações referentes ao produto para a saúde objeto do Certificado ou Certidão, a empresa deve notificar a ANVISA, no link do próprio protocolo eletrônico para e</w:t>
      </w:r>
      <w:r w:rsidRPr="00F15752">
        <w:rPr>
          <w:rStyle w:val="edtextoedtexto"/>
        </w:rPr>
        <w:t>missão de Certificado de Produto (Certificado de Cadastro ou Registro de</w:t>
      </w:r>
      <w:r w:rsidRPr="00F15752">
        <w:t xml:space="preserve"> Produto para a Saúde</w:t>
      </w:r>
      <w:r w:rsidRPr="00F15752">
        <w:rPr>
          <w:rStyle w:val="edtextoedtexto"/>
        </w:rPr>
        <w:t>) e Certidão para Governo Estrangeiro (</w:t>
      </w:r>
      <w:r w:rsidRPr="00F15752">
        <w:t>Certidão de Cadastro ou Registro para Exportação de Produto para Saúde).</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Parágrafo único</w:t>
      </w:r>
      <w:r w:rsidRPr="00F15752">
        <w:rPr>
          <w:i/>
        </w:rPr>
        <w:t xml:space="preserve">. </w:t>
      </w:r>
      <w:r w:rsidRPr="00F15752">
        <w:t>Após a anuência da notificação ou da petição de alteração ou retificação na base de dados, a empresa poderá proceder a novo peticionamento de Certificado de Produto ou Certidão para Governo Estrangeiro.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 6º É vedada qualquer modificação nos documentos emitidos.</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§1º A existência de rasuras ou emendas tornará o documento emitido inválido.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§2º Qualquer alteração ou inclusão pós-registro ou pós-cadastro deferida que altere as informações do documento emitido, torná-lo-á inválido.</w:t>
      </w:r>
    </w:p>
    <w:p w:rsidR="006C129F" w:rsidRPr="00F15752" w:rsidRDefault="006C129F" w:rsidP="0044641D">
      <w:pPr>
        <w:autoSpaceDE w:val="0"/>
        <w:autoSpaceDN w:val="0"/>
        <w:adjustRightInd w:val="0"/>
        <w:spacing w:before="0" w:beforeAutospacing="0" w:after="200" w:afterAutospacing="0"/>
        <w:jc w:val="center"/>
        <w:divId w:val="247465942"/>
        <w:rPr>
          <w:b/>
        </w:rPr>
      </w:pPr>
      <w:r w:rsidRPr="00F15752">
        <w:rPr>
          <w:b/>
        </w:rPr>
        <w:t>CAPÍTULO III</w:t>
      </w:r>
    </w:p>
    <w:p w:rsidR="006C129F" w:rsidRPr="00F15752" w:rsidRDefault="006C129F" w:rsidP="0044641D">
      <w:pPr>
        <w:autoSpaceDE w:val="0"/>
        <w:autoSpaceDN w:val="0"/>
        <w:adjustRightInd w:val="0"/>
        <w:spacing w:before="0" w:beforeAutospacing="0" w:after="200" w:afterAutospacing="0"/>
        <w:jc w:val="center"/>
        <w:divId w:val="247465942"/>
        <w:rPr>
          <w:b/>
        </w:rPr>
      </w:pPr>
      <w:r w:rsidRPr="00F15752">
        <w:rPr>
          <w:b/>
        </w:rPr>
        <w:t>DA EMISSÃO DE DOCUMENTOS</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lastRenderedPageBreak/>
        <w:t xml:space="preserve">Art. 7º A emissão de Certificado de Produto e Certidão para Governo Estrangeiro, conforme os modelos dos Anexos I e II, dar-se-á através de protocolo eletrônico. </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§1º Para requerer o Certificado de Produto ou Certidão para Governo Estrangeiro, a empresa detentora do cadastro ou registro do produto deverá acessar, no sítio eletrônico da ANVISA, o peticionamento eletrônico e selecionar a modalidade de petição eletrônica, não havendo necessidade de envio da documentação em papel.</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§2º O documento solicitado será emitido por número de cadastro ou registro.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§3º O documento estará disponível para impressão pelo próprio requerente no sítio eletrônico da ANVISA.</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§4º O documento emitido eletronicamente, via internet, possuirá informação relativa à data e hora de sua emissão e ao respectivo código de controle alfanumérico (</w:t>
      </w:r>
      <w:r w:rsidRPr="00F15752">
        <w:rPr>
          <w:i/>
        </w:rPr>
        <w:t>hash code</w:t>
      </w:r>
      <w:r w:rsidRPr="00F15752">
        <w:t>).</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§5º O documento deve ser validado pela empresa através do sítio eletrônico da ANVISA, informando o número do certificado ou certidão gerado no peticionamento eletrônico.</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§6º A emissão da Certidão para Governo Estrangeiro, constante do Anexo II, é isenta de pagamento de taxa de fiscalização de vigilância sanitária.</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§7º A emissão do Certificado de Produto, constante do Anexo I, está sujeita ao recolhimento de taxa de fiscalização de vigilância sanitária, em conformidade com o item 14 do Anexo II da Lei nº 9.782, de 26 de janeiro de 1999.</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CAPÍTULO IV</w:t>
      </w:r>
    </w:p>
    <w:p w:rsidR="006C129F" w:rsidRPr="00F15752" w:rsidRDefault="006C129F" w:rsidP="00F15752">
      <w:pPr>
        <w:autoSpaceDE w:val="0"/>
        <w:autoSpaceDN w:val="0"/>
        <w:adjustRightInd w:val="0"/>
        <w:spacing w:before="0" w:beforeAutospacing="0" w:after="200" w:afterAutospacing="0"/>
        <w:jc w:val="center"/>
        <w:divId w:val="247465942"/>
        <w:rPr>
          <w:b/>
        </w:rPr>
      </w:pPr>
      <w:r w:rsidRPr="00F15752">
        <w:rPr>
          <w:b/>
        </w:rPr>
        <w:t>DAS DISPOSIÇÕES FINAIS</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 8º Aos Certificados de Produtos ou Certidões para Governo Estrangeiro emitidos antes da vigência desta Resolução aplica-se o disposto nos artigos 3º e 6º.</w:t>
      </w:r>
    </w:p>
    <w:p w:rsidR="006C129F" w:rsidRPr="00F15752" w:rsidRDefault="006C129F" w:rsidP="00F15752">
      <w:pPr>
        <w:autoSpaceDE w:val="0"/>
        <w:autoSpaceDN w:val="0"/>
        <w:adjustRightInd w:val="0"/>
        <w:spacing w:before="0" w:beforeAutospacing="0" w:after="200" w:afterAutospacing="0"/>
        <w:ind w:firstLine="709"/>
        <w:jc w:val="both"/>
        <w:divId w:val="247465942"/>
      </w:pPr>
      <w:r w:rsidRPr="00F15752">
        <w:t>Art. 9º Esta Resolução entra em vigor trinta dias após a data de sua publicação.</w:t>
      </w:r>
    </w:p>
    <w:p w:rsidR="0044641D" w:rsidRDefault="0044641D" w:rsidP="00F15752">
      <w:pPr>
        <w:pStyle w:val="Ttulo2"/>
        <w:spacing w:before="0" w:beforeAutospacing="0" w:after="200" w:afterAutospacing="0"/>
        <w:divId w:val="247465942"/>
        <w:rPr>
          <w:rFonts w:ascii="Times New Roman" w:hAnsi="Times New Roman" w:cs="Times New Roman"/>
          <w:sz w:val="24"/>
          <w:szCs w:val="24"/>
        </w:rPr>
      </w:pPr>
    </w:p>
    <w:p w:rsidR="006C129F" w:rsidRPr="0044641D" w:rsidRDefault="006C129F" w:rsidP="00F15752">
      <w:pPr>
        <w:pStyle w:val="Ttulo2"/>
        <w:spacing w:before="0" w:beforeAutospacing="0" w:after="200" w:afterAutospacing="0"/>
        <w:divId w:val="247465942"/>
        <w:rPr>
          <w:rFonts w:ascii="Times New Roman" w:hAnsi="Times New Roman" w:cs="Times New Roman"/>
          <w:b w:val="0"/>
          <w:sz w:val="24"/>
          <w:szCs w:val="24"/>
        </w:rPr>
      </w:pPr>
      <w:r w:rsidRPr="0044641D">
        <w:rPr>
          <w:rFonts w:ascii="Times New Roman" w:hAnsi="Times New Roman" w:cs="Times New Roman"/>
          <w:b w:val="0"/>
          <w:sz w:val="24"/>
          <w:szCs w:val="24"/>
        </w:rPr>
        <w:t>DIRCEU BRÁS APARECIDO BARBANO</w:t>
      </w:r>
    </w:p>
    <w:p w:rsidR="0044641D" w:rsidRDefault="0044641D" w:rsidP="00F15752">
      <w:pPr>
        <w:spacing w:before="0" w:beforeAutospacing="0" w:after="200" w:afterAutospacing="0"/>
        <w:jc w:val="center"/>
        <w:divId w:val="247465942"/>
        <w:rPr>
          <w:b/>
        </w:rPr>
      </w:pPr>
    </w:p>
    <w:p w:rsidR="0044641D" w:rsidRDefault="0044641D" w:rsidP="00F15752">
      <w:pPr>
        <w:spacing w:before="0" w:beforeAutospacing="0" w:after="200" w:afterAutospacing="0"/>
        <w:jc w:val="center"/>
        <w:divId w:val="247465942"/>
        <w:rPr>
          <w:b/>
        </w:rPr>
      </w:pPr>
    </w:p>
    <w:p w:rsidR="0044641D" w:rsidRDefault="0044641D" w:rsidP="00F15752">
      <w:pPr>
        <w:spacing w:before="0" w:beforeAutospacing="0" w:after="200" w:afterAutospacing="0"/>
        <w:jc w:val="center"/>
        <w:divId w:val="247465942"/>
        <w:rPr>
          <w:b/>
        </w:rPr>
      </w:pPr>
    </w:p>
    <w:p w:rsidR="0044641D" w:rsidRDefault="0044641D" w:rsidP="00F15752">
      <w:pPr>
        <w:spacing w:before="0" w:beforeAutospacing="0" w:after="200" w:afterAutospacing="0"/>
        <w:jc w:val="center"/>
        <w:divId w:val="247465942"/>
        <w:rPr>
          <w:b/>
        </w:rPr>
      </w:pPr>
    </w:p>
    <w:p w:rsidR="0044641D" w:rsidRDefault="0044641D" w:rsidP="00F15752">
      <w:pPr>
        <w:spacing w:before="0" w:beforeAutospacing="0" w:after="200" w:afterAutospacing="0"/>
        <w:jc w:val="center"/>
        <w:divId w:val="247465942"/>
        <w:rPr>
          <w:b/>
        </w:rPr>
      </w:pPr>
      <w:r>
        <w:rPr>
          <w:b/>
        </w:rPr>
        <w:lastRenderedPageBreak/>
        <w:t xml:space="preserve">ANEXO I </w:t>
      </w:r>
    </w:p>
    <w:p w:rsidR="006C129F" w:rsidRPr="00F15752" w:rsidRDefault="00F475D3" w:rsidP="00F15752">
      <w:pPr>
        <w:spacing w:before="0" w:beforeAutospacing="0" w:after="200" w:afterAutospacing="0"/>
        <w:jc w:val="center"/>
        <w:divId w:val="247465942"/>
        <w:rPr>
          <w:b/>
        </w:rPr>
      </w:pPr>
      <w:r w:rsidRPr="00F475D3">
        <w:rPr>
          <w:b/>
          <w:noProof/>
        </w:rPr>
        <w:drawing>
          <wp:inline distT="0" distB="0" distL="0" distR="0">
            <wp:extent cx="5143500" cy="5305425"/>
            <wp:effectExtent l="0" t="0" r="0" b="0"/>
            <wp:docPr id="3" name="Imagem 3" descr="Descrição: C:\Users\pablo.pereira\Desktop\Saúdelegis\2013\RDC N° 27\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C:\Users\pablo.pereira\Desktop\Saúdelegis\2013\RDC N° 27\FIGURA 1.jpg"/>
                    <pic:cNvPicPr>
                      <a:picLocks noChangeAspect="1" noChangeArrowheads="1"/>
                    </pic:cNvPicPr>
                  </pic:nvPicPr>
                  <pic:blipFill>
                    <a:blip r:embed="rId7">
                      <a:extLst>
                        <a:ext uri="{28A0092B-C50C-407E-A947-70E740481C1C}">
                          <a14:useLocalDpi xmlns:a14="http://schemas.microsoft.com/office/drawing/2010/main" val="0"/>
                        </a:ext>
                      </a:extLst>
                    </a:blip>
                    <a:srcRect t="3949"/>
                    <a:stretch>
                      <a:fillRect/>
                    </a:stretch>
                  </pic:blipFill>
                  <pic:spPr bwMode="auto">
                    <a:xfrm>
                      <a:off x="0" y="0"/>
                      <a:ext cx="5143500" cy="5305425"/>
                    </a:xfrm>
                    <a:prstGeom prst="rect">
                      <a:avLst/>
                    </a:prstGeom>
                    <a:noFill/>
                    <a:ln>
                      <a:noFill/>
                    </a:ln>
                  </pic:spPr>
                </pic:pic>
              </a:graphicData>
            </a:graphic>
          </wp:inline>
        </w:drawing>
      </w:r>
    </w:p>
    <w:p w:rsidR="0044641D" w:rsidRDefault="0044641D" w:rsidP="00F15752">
      <w:pPr>
        <w:spacing w:before="0" w:beforeAutospacing="0" w:after="200" w:afterAutospacing="0"/>
        <w:jc w:val="center"/>
        <w:divId w:val="247465942"/>
        <w:rPr>
          <w:color w:val="FF0000"/>
        </w:rPr>
      </w:pPr>
    </w:p>
    <w:p w:rsidR="00A53197" w:rsidRDefault="00A53197" w:rsidP="00F15752">
      <w:pPr>
        <w:spacing w:before="0" w:beforeAutospacing="0" w:after="200" w:afterAutospacing="0"/>
        <w:jc w:val="center"/>
        <w:divId w:val="247465942"/>
        <w:rPr>
          <w:color w:val="FF0000"/>
        </w:rPr>
      </w:pPr>
    </w:p>
    <w:p w:rsidR="0044641D" w:rsidRDefault="0044641D" w:rsidP="00F15752">
      <w:pPr>
        <w:spacing w:before="0" w:beforeAutospacing="0" w:after="200" w:afterAutospacing="0"/>
        <w:jc w:val="center"/>
        <w:divId w:val="247465942"/>
        <w:rPr>
          <w:b/>
          <w:noProof/>
          <w:color w:val="FF0000"/>
        </w:rPr>
      </w:pPr>
    </w:p>
    <w:p w:rsidR="0044641D" w:rsidRDefault="0044641D" w:rsidP="00F15752">
      <w:pPr>
        <w:spacing w:before="0" w:beforeAutospacing="0" w:after="200" w:afterAutospacing="0"/>
        <w:jc w:val="center"/>
        <w:divId w:val="247465942"/>
        <w:rPr>
          <w:b/>
          <w:noProof/>
          <w:color w:val="FF0000"/>
        </w:rPr>
      </w:pPr>
    </w:p>
    <w:p w:rsidR="0044641D" w:rsidRDefault="0044641D" w:rsidP="00F15752">
      <w:pPr>
        <w:spacing w:before="0" w:beforeAutospacing="0" w:after="200" w:afterAutospacing="0"/>
        <w:jc w:val="center"/>
        <w:divId w:val="247465942"/>
        <w:rPr>
          <w:b/>
          <w:noProof/>
          <w:color w:val="FF0000"/>
        </w:rPr>
      </w:pPr>
    </w:p>
    <w:p w:rsidR="0044641D" w:rsidRDefault="0044641D" w:rsidP="00F15752">
      <w:pPr>
        <w:spacing w:before="0" w:beforeAutospacing="0" w:after="200" w:afterAutospacing="0"/>
        <w:jc w:val="center"/>
        <w:divId w:val="247465942"/>
        <w:rPr>
          <w:color w:val="FF0000"/>
        </w:rPr>
      </w:pPr>
    </w:p>
    <w:p w:rsidR="0044641D" w:rsidRDefault="0044641D" w:rsidP="00F15752">
      <w:pPr>
        <w:spacing w:before="0" w:beforeAutospacing="0" w:after="200" w:afterAutospacing="0"/>
        <w:jc w:val="center"/>
        <w:divId w:val="247465942"/>
        <w:rPr>
          <w:color w:val="FF0000"/>
        </w:rPr>
      </w:pPr>
    </w:p>
    <w:p w:rsidR="0044641D" w:rsidRDefault="0044641D" w:rsidP="00F15752">
      <w:pPr>
        <w:spacing w:before="0" w:beforeAutospacing="0" w:after="200" w:afterAutospacing="0"/>
        <w:jc w:val="center"/>
        <w:divId w:val="247465942"/>
        <w:rPr>
          <w:color w:val="FF0000"/>
        </w:rPr>
      </w:pPr>
    </w:p>
    <w:p w:rsidR="0044641D" w:rsidRPr="0044641D" w:rsidRDefault="0044641D" w:rsidP="00F15752">
      <w:pPr>
        <w:spacing w:before="0" w:beforeAutospacing="0" w:after="200" w:afterAutospacing="0"/>
        <w:jc w:val="center"/>
        <w:divId w:val="247465942"/>
        <w:rPr>
          <w:b/>
          <w:noProof/>
        </w:rPr>
      </w:pPr>
      <w:r w:rsidRPr="0044641D">
        <w:rPr>
          <w:b/>
          <w:noProof/>
        </w:rPr>
        <w:lastRenderedPageBreak/>
        <w:t>ANEXO II</w:t>
      </w:r>
    </w:p>
    <w:p w:rsidR="0044641D" w:rsidRPr="00F15752" w:rsidRDefault="00F475D3" w:rsidP="00F15752">
      <w:pPr>
        <w:spacing w:before="0" w:beforeAutospacing="0" w:after="200" w:afterAutospacing="0"/>
        <w:jc w:val="center"/>
        <w:divId w:val="247465942"/>
        <w:rPr>
          <w:color w:val="FF0000"/>
        </w:rPr>
      </w:pPr>
      <w:r w:rsidRPr="00F475D3">
        <w:rPr>
          <w:b/>
          <w:noProof/>
          <w:color w:val="FF0000"/>
        </w:rPr>
        <w:drawing>
          <wp:inline distT="0" distB="0" distL="0" distR="0">
            <wp:extent cx="5229225" cy="5429250"/>
            <wp:effectExtent l="0" t="0" r="0" b="0"/>
            <wp:docPr id="4" name="Imagem 2" descr="Descrição: C:\Users\pablo.pereira\Desktop\Saúdelegis\2013\RDC N° 27\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C:\Users\pablo.pereira\Desktop\Saúdelegis\2013\RDC N° 27\FIGURA 2.jpg"/>
                    <pic:cNvPicPr>
                      <a:picLocks noChangeAspect="1" noChangeArrowheads="1"/>
                    </pic:cNvPicPr>
                  </pic:nvPicPr>
                  <pic:blipFill>
                    <a:blip r:embed="rId8">
                      <a:extLst>
                        <a:ext uri="{28A0092B-C50C-407E-A947-70E740481C1C}">
                          <a14:useLocalDpi xmlns:a14="http://schemas.microsoft.com/office/drawing/2010/main" val="0"/>
                        </a:ext>
                      </a:extLst>
                    </a:blip>
                    <a:srcRect t="4886"/>
                    <a:stretch>
                      <a:fillRect/>
                    </a:stretch>
                  </pic:blipFill>
                  <pic:spPr bwMode="auto">
                    <a:xfrm>
                      <a:off x="0" y="0"/>
                      <a:ext cx="5229225" cy="5429250"/>
                    </a:xfrm>
                    <a:prstGeom prst="rect">
                      <a:avLst/>
                    </a:prstGeom>
                    <a:noFill/>
                    <a:ln>
                      <a:noFill/>
                    </a:ln>
                  </pic:spPr>
                </pic:pic>
              </a:graphicData>
            </a:graphic>
          </wp:inline>
        </w:drawing>
      </w:r>
    </w:p>
    <w:sectPr w:rsidR="0044641D" w:rsidRPr="00F15752">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5D3" w:rsidRDefault="00F475D3" w:rsidP="0044641D">
      <w:pPr>
        <w:spacing w:before="0" w:after="0"/>
      </w:pPr>
      <w:r>
        <w:separator/>
      </w:r>
    </w:p>
  </w:endnote>
  <w:endnote w:type="continuationSeparator" w:id="0">
    <w:p w:rsidR="00F475D3" w:rsidRDefault="00F475D3" w:rsidP="004464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41D" w:rsidRPr="0044641D" w:rsidRDefault="0044641D" w:rsidP="0044641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5D3" w:rsidRDefault="00F475D3" w:rsidP="0044641D">
      <w:pPr>
        <w:spacing w:before="0" w:after="0"/>
      </w:pPr>
      <w:r>
        <w:separator/>
      </w:r>
    </w:p>
  </w:footnote>
  <w:footnote w:type="continuationSeparator" w:id="0">
    <w:p w:rsidR="00F475D3" w:rsidRDefault="00F475D3" w:rsidP="0044641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41D" w:rsidRPr="0044641D" w:rsidRDefault="00F475D3" w:rsidP="0044641D">
    <w:pPr>
      <w:tabs>
        <w:tab w:val="center" w:pos="4252"/>
        <w:tab w:val="right" w:pos="8504"/>
      </w:tabs>
      <w:spacing w:before="0" w:beforeAutospacing="0" w:after="0" w:afterAutospacing="0"/>
      <w:jc w:val="center"/>
      <w:rPr>
        <w:rFonts w:ascii="Calibri" w:hAnsi="Calibri"/>
        <w:sz w:val="22"/>
        <w:szCs w:val="22"/>
        <w:lang w:eastAsia="en-US"/>
      </w:rPr>
    </w:pPr>
    <w:r w:rsidRPr="00F475D3">
      <w:rPr>
        <w:rFonts w:ascii="Calibri" w:hAnsi="Calibri"/>
        <w:noProof/>
        <w:sz w:val="22"/>
        <w:szCs w:val="22"/>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4641D" w:rsidRPr="0044641D" w:rsidRDefault="0044641D" w:rsidP="0044641D">
    <w:pPr>
      <w:tabs>
        <w:tab w:val="center" w:pos="4252"/>
        <w:tab w:val="right" w:pos="8504"/>
      </w:tabs>
      <w:spacing w:before="0" w:beforeAutospacing="0" w:after="0" w:afterAutospacing="0"/>
      <w:jc w:val="center"/>
      <w:rPr>
        <w:rFonts w:ascii="Calibri" w:hAnsi="Calibri"/>
        <w:b/>
        <w:szCs w:val="22"/>
        <w:lang w:eastAsia="en-US"/>
      </w:rPr>
    </w:pPr>
    <w:r w:rsidRPr="0044641D">
      <w:rPr>
        <w:rFonts w:ascii="Calibri" w:hAnsi="Calibri"/>
        <w:b/>
        <w:szCs w:val="22"/>
        <w:lang w:eastAsia="en-US"/>
      </w:rPr>
      <w:t>Ministério da Saúde - MS</w:t>
    </w:r>
  </w:p>
  <w:p w:rsidR="0044641D" w:rsidRPr="0044641D" w:rsidRDefault="0044641D" w:rsidP="0044641D">
    <w:pPr>
      <w:tabs>
        <w:tab w:val="center" w:pos="4252"/>
        <w:tab w:val="right" w:pos="8504"/>
      </w:tabs>
      <w:spacing w:before="0" w:beforeAutospacing="0" w:after="0" w:afterAutospacing="0"/>
      <w:jc w:val="center"/>
      <w:rPr>
        <w:rFonts w:ascii="Calibri" w:hAnsi="Calibri"/>
        <w:b/>
        <w:szCs w:val="22"/>
        <w:lang w:eastAsia="en-US"/>
      </w:rPr>
    </w:pPr>
    <w:r w:rsidRPr="0044641D">
      <w:rPr>
        <w:rFonts w:ascii="Calibri" w:hAnsi="Calibri"/>
        <w:b/>
        <w:szCs w:val="22"/>
        <w:lang w:eastAsia="en-US"/>
      </w:rPr>
      <w:t>Agência Nacional de Vigilância Sanitária - ANVISA</w:t>
    </w:r>
  </w:p>
  <w:p w:rsidR="0044641D" w:rsidRPr="0044641D" w:rsidRDefault="0044641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91360"/>
    <w:rsid w:val="003C4A39"/>
    <w:rsid w:val="0044641D"/>
    <w:rsid w:val="00652E8A"/>
    <w:rsid w:val="006C129F"/>
    <w:rsid w:val="00771958"/>
    <w:rsid w:val="00867B72"/>
    <w:rsid w:val="008B7BC0"/>
    <w:rsid w:val="008D770F"/>
    <w:rsid w:val="00963BF1"/>
    <w:rsid w:val="00A06235"/>
    <w:rsid w:val="00A146D8"/>
    <w:rsid w:val="00A53197"/>
    <w:rsid w:val="00A533A1"/>
    <w:rsid w:val="00A66480"/>
    <w:rsid w:val="00AA72EF"/>
    <w:rsid w:val="00AF43E7"/>
    <w:rsid w:val="00B13D8C"/>
    <w:rsid w:val="00B517AC"/>
    <w:rsid w:val="00BA4BE8"/>
    <w:rsid w:val="00BC5F27"/>
    <w:rsid w:val="00BE676D"/>
    <w:rsid w:val="00C05434"/>
    <w:rsid w:val="00C95A0B"/>
    <w:rsid w:val="00D221EC"/>
    <w:rsid w:val="00D73AC1"/>
    <w:rsid w:val="00D74B7B"/>
    <w:rsid w:val="00D82597"/>
    <w:rsid w:val="00DF7C19"/>
    <w:rsid w:val="00E13B02"/>
    <w:rsid w:val="00E777A1"/>
    <w:rsid w:val="00F15752"/>
    <w:rsid w:val="00F430BE"/>
    <w:rsid w:val="00F475D3"/>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edtextoedtexto">
    <w:name w:val="edtexto edtexto"/>
    <w:basedOn w:val="Fontepargpadro"/>
    <w:rsid w:val="006C129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65944">
      <w:marLeft w:val="150"/>
      <w:marRight w:val="150"/>
      <w:marTop w:val="150"/>
      <w:marBottom w:val="0"/>
      <w:divBdr>
        <w:top w:val="none" w:sz="0" w:space="0" w:color="auto"/>
        <w:left w:val="none" w:sz="0" w:space="0" w:color="auto"/>
        <w:bottom w:val="none" w:sz="0" w:space="0" w:color="auto"/>
        <w:right w:val="none" w:sz="0" w:space="0" w:color="auto"/>
      </w:divBdr>
      <w:divsChild>
        <w:div w:id="247465943">
          <w:marLeft w:val="0"/>
          <w:marRight w:val="0"/>
          <w:marTop w:val="0"/>
          <w:marBottom w:val="0"/>
          <w:divBdr>
            <w:top w:val="none" w:sz="0" w:space="0" w:color="auto"/>
            <w:left w:val="none" w:sz="0" w:space="0" w:color="auto"/>
            <w:bottom w:val="none" w:sz="0" w:space="0" w:color="auto"/>
            <w:right w:val="none" w:sz="0" w:space="0" w:color="auto"/>
          </w:divBdr>
          <w:divsChild>
            <w:div w:id="247465942">
              <w:marLeft w:val="0"/>
              <w:marRight w:val="0"/>
              <w:marTop w:val="75"/>
              <w:marBottom w:val="300"/>
              <w:divBdr>
                <w:top w:val="none" w:sz="0" w:space="0" w:color="auto"/>
                <w:left w:val="none" w:sz="0" w:space="0" w:color="auto"/>
                <w:bottom w:val="none" w:sz="0" w:space="0" w:color="auto"/>
                <w:right w:val="none" w:sz="0" w:space="0" w:color="auto"/>
              </w:divBdr>
            </w:div>
            <w:div w:id="24746594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4948</Characters>
  <Application>Microsoft Office Word</Application>
  <DocSecurity>0</DocSecurity>
  <Lines>41</Lines>
  <Paragraphs>11</Paragraphs>
  <ScaleCrop>false</ScaleCrop>
  <Company>ANVISA</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