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592" w:rsidRPr="00620592" w:rsidRDefault="00620592" w:rsidP="00CE43FF">
      <w:pPr>
        <w:spacing w:line="240" w:lineRule="auto"/>
        <w:ind w:left="-426" w:right="-427"/>
        <w:jc w:val="center"/>
        <w:outlineLvl w:val="0"/>
        <w:rPr>
          <w:rFonts w:ascii="Times New Roman" w:eastAsia="Times New Roman" w:hAnsi="Times New Roman" w:cs="Times New Roman"/>
          <w:b/>
          <w:bCs/>
          <w:color w:val="000000"/>
          <w:kern w:val="36"/>
          <w:sz w:val="24"/>
          <w:szCs w:val="24"/>
          <w:lang w:eastAsia="pt-BR"/>
        </w:rPr>
      </w:pPr>
      <w:r w:rsidRPr="00620592">
        <w:rPr>
          <w:rFonts w:ascii="Times New Roman" w:eastAsia="Times New Roman" w:hAnsi="Times New Roman" w:cs="Times New Roman"/>
          <w:b/>
          <w:bCs/>
          <w:color w:val="000000"/>
          <w:kern w:val="36"/>
          <w:szCs w:val="24"/>
          <w:lang w:eastAsia="pt-BR"/>
        </w:rPr>
        <w:t>RESOLUÇÃO DE DIRET</w:t>
      </w:r>
      <w:r w:rsidR="00CE43FF">
        <w:rPr>
          <w:rFonts w:ascii="Times New Roman" w:eastAsia="Times New Roman" w:hAnsi="Times New Roman" w:cs="Times New Roman"/>
          <w:b/>
          <w:bCs/>
          <w:color w:val="000000"/>
          <w:kern w:val="36"/>
          <w:szCs w:val="24"/>
          <w:lang w:eastAsia="pt-BR"/>
        </w:rPr>
        <w:t xml:space="preserve">ORIA COLEGIADA - RDC Nº 53, DE </w:t>
      </w:r>
      <w:r w:rsidRPr="00620592">
        <w:rPr>
          <w:rFonts w:ascii="Times New Roman" w:eastAsia="Times New Roman" w:hAnsi="Times New Roman" w:cs="Times New Roman"/>
          <w:b/>
          <w:bCs/>
          <w:color w:val="000000"/>
          <w:kern w:val="36"/>
          <w:szCs w:val="24"/>
          <w:lang w:eastAsia="pt-BR"/>
        </w:rPr>
        <w:t>4 DE DEZEMBRO DE 2015(</w:t>
      </w:r>
      <w:r w:rsidRPr="00620592">
        <w:rPr>
          <w:rFonts w:ascii="Times New Roman" w:eastAsia="Times New Roman" w:hAnsi="Times New Roman" w:cs="Times New Roman"/>
          <w:b/>
          <w:bCs/>
          <w:color w:val="000000"/>
          <w:kern w:val="36"/>
          <w:sz w:val="24"/>
          <w:szCs w:val="24"/>
          <w:lang w:eastAsia="pt-BR"/>
        </w:rPr>
        <w:t>*)</w:t>
      </w:r>
    </w:p>
    <w:p w:rsidR="00CE43FF" w:rsidRDefault="00620592" w:rsidP="00CE43FF">
      <w:pPr>
        <w:spacing w:line="240" w:lineRule="auto"/>
        <w:jc w:val="center"/>
        <w:outlineLvl w:val="1"/>
        <w:rPr>
          <w:rFonts w:ascii="Times New Roman" w:eastAsia="Times New Roman" w:hAnsi="Times New Roman" w:cs="Times New Roman"/>
          <w:b/>
          <w:iCs/>
          <w:color w:val="0000FF"/>
          <w:sz w:val="24"/>
          <w:szCs w:val="24"/>
          <w:lang w:eastAsia="pt-BR"/>
        </w:rPr>
      </w:pPr>
      <w:r w:rsidRPr="00A3435F">
        <w:rPr>
          <w:rFonts w:ascii="Times New Roman" w:eastAsia="Times New Roman" w:hAnsi="Times New Roman" w:cs="Times New Roman"/>
          <w:b/>
          <w:iCs/>
          <w:color w:val="0000FF"/>
          <w:sz w:val="24"/>
          <w:szCs w:val="24"/>
          <w:lang w:eastAsia="pt-BR"/>
        </w:rPr>
        <w:t>(</w:t>
      </w:r>
      <w:r w:rsidR="00343E64" w:rsidRPr="00A3435F">
        <w:rPr>
          <w:rFonts w:ascii="Times New Roman" w:eastAsia="Times New Roman" w:hAnsi="Times New Roman" w:cs="Times New Roman"/>
          <w:b/>
          <w:iCs/>
          <w:color w:val="0000FF"/>
          <w:sz w:val="24"/>
          <w:szCs w:val="24"/>
          <w:lang w:eastAsia="pt-BR"/>
        </w:rPr>
        <w:t>Pu</w:t>
      </w:r>
      <w:r w:rsidR="00CE43FF">
        <w:rPr>
          <w:rFonts w:ascii="Times New Roman" w:eastAsia="Times New Roman" w:hAnsi="Times New Roman" w:cs="Times New Roman"/>
          <w:b/>
          <w:iCs/>
          <w:color w:val="0000FF"/>
          <w:sz w:val="24"/>
          <w:szCs w:val="24"/>
          <w:lang w:eastAsia="pt-BR"/>
        </w:rPr>
        <w:t xml:space="preserve">blicada em DOU nº 233, de </w:t>
      </w:r>
      <w:r w:rsidR="00F10C4E">
        <w:rPr>
          <w:rFonts w:ascii="Times New Roman" w:eastAsia="Times New Roman" w:hAnsi="Times New Roman" w:cs="Times New Roman"/>
          <w:b/>
          <w:iCs/>
          <w:color w:val="0000FF"/>
          <w:sz w:val="24"/>
          <w:szCs w:val="24"/>
          <w:lang w:eastAsia="pt-BR"/>
        </w:rPr>
        <w:t>7</w:t>
      </w:r>
      <w:r w:rsidRPr="00A3435F">
        <w:rPr>
          <w:rFonts w:ascii="Times New Roman" w:eastAsia="Times New Roman" w:hAnsi="Times New Roman" w:cs="Times New Roman"/>
          <w:b/>
          <w:iCs/>
          <w:color w:val="0000FF"/>
          <w:sz w:val="24"/>
          <w:szCs w:val="24"/>
          <w:lang w:eastAsia="pt-BR"/>
        </w:rPr>
        <w:t xml:space="preserve"> de dezembro de 2015)</w:t>
      </w:r>
    </w:p>
    <w:p w:rsidR="00620592" w:rsidRPr="00A3435F" w:rsidRDefault="00620592" w:rsidP="00CE43FF">
      <w:pPr>
        <w:spacing w:line="240" w:lineRule="auto"/>
        <w:jc w:val="center"/>
        <w:outlineLvl w:val="1"/>
        <w:rPr>
          <w:rFonts w:ascii="Times New Roman" w:eastAsia="Times New Roman" w:hAnsi="Times New Roman" w:cs="Times New Roman"/>
          <w:b/>
          <w:iCs/>
          <w:color w:val="0000FF"/>
          <w:sz w:val="24"/>
          <w:szCs w:val="24"/>
          <w:lang w:eastAsia="pt-BR"/>
        </w:rPr>
      </w:pPr>
      <w:r w:rsidRPr="00A3435F">
        <w:rPr>
          <w:rFonts w:ascii="Times New Roman" w:eastAsia="Times New Roman" w:hAnsi="Times New Roman" w:cs="Times New Roman"/>
          <w:b/>
          <w:iCs/>
          <w:color w:val="0000FF"/>
          <w:sz w:val="24"/>
          <w:szCs w:val="24"/>
          <w:lang w:eastAsia="pt-BR"/>
        </w:rPr>
        <w:t xml:space="preserve">(Republicada em DOU nº </w:t>
      </w:r>
      <w:r w:rsidR="00F10C4E">
        <w:rPr>
          <w:rFonts w:ascii="Times New Roman" w:eastAsia="Times New Roman" w:hAnsi="Times New Roman" w:cs="Times New Roman"/>
          <w:b/>
          <w:iCs/>
          <w:color w:val="0000FF"/>
          <w:sz w:val="24"/>
          <w:szCs w:val="24"/>
          <w:lang w:eastAsia="pt-BR"/>
        </w:rPr>
        <w:t>234</w:t>
      </w:r>
      <w:r w:rsidR="00CE43FF">
        <w:rPr>
          <w:rFonts w:ascii="Times New Roman" w:eastAsia="Times New Roman" w:hAnsi="Times New Roman" w:cs="Times New Roman"/>
          <w:b/>
          <w:iCs/>
          <w:color w:val="0000FF"/>
          <w:sz w:val="24"/>
          <w:szCs w:val="24"/>
          <w:lang w:eastAsia="pt-BR"/>
        </w:rPr>
        <w:t xml:space="preserve">, de </w:t>
      </w:r>
      <w:r w:rsidRPr="00A3435F">
        <w:rPr>
          <w:rFonts w:ascii="Times New Roman" w:eastAsia="Times New Roman" w:hAnsi="Times New Roman" w:cs="Times New Roman"/>
          <w:b/>
          <w:iCs/>
          <w:color w:val="0000FF"/>
          <w:sz w:val="24"/>
          <w:szCs w:val="24"/>
          <w:lang w:eastAsia="pt-BR"/>
        </w:rPr>
        <w:t>8 de dezembro de 2015)</w:t>
      </w:r>
    </w:p>
    <w:p w:rsidR="00620592" w:rsidRPr="00620592" w:rsidRDefault="00620592" w:rsidP="00CE43FF">
      <w:pPr>
        <w:spacing w:line="240" w:lineRule="auto"/>
        <w:ind w:left="3969"/>
        <w:jc w:val="both"/>
        <w:outlineLvl w:val="2"/>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Estabelece parâmetros para a notificação, identificação e qualificação de produtos de degradação em medicamentos com substâncias ativas sintéticas e semissintéticas, classificados como novos, genéricos e simil</w:t>
      </w:r>
      <w:r w:rsidR="00A3435F">
        <w:rPr>
          <w:rFonts w:ascii="Times New Roman" w:eastAsia="Times New Roman" w:hAnsi="Times New Roman" w:cs="Times New Roman"/>
          <w:color w:val="000000"/>
          <w:sz w:val="24"/>
          <w:szCs w:val="24"/>
          <w:lang w:eastAsia="pt-BR"/>
        </w:rPr>
        <w:t>ares, e dá outras providências.</w:t>
      </w:r>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 Diretoria Colegiada da Agência Nacional de Vigilância Sanitária, no uso da atribuição que lhe conferem os incisos III e IV, do art. 15, da Lei nº 9.782, de 26 de janeiro de 1999, o inciso V e §§ 1º e 3º do art. 58 do Regimento Interno aprovado nos termos do Anexo I Resolução da Diretoria Colegiada - RDC nº 29, de 21 de julho de 2015, publicada no D.O.U de 23 de julho de 2015, tendo em vista o disposto nos incisos III, do art. 2º, III e IV, do art. 7º da Lei nº 9.782, de 1999, e o Programa de Melhoria do Processo de Regulamentação da Agência, instituído por Portaria nº 422, de 16 de abril de 2008, em reunião realizada em 19 e 20 de novembro de 2015, adota a seguinte Resolução da Diretoria Colegiada e eu, Diretor- Presidente, determino a sua publicação:</w:t>
      </w:r>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Art. 1º Fica aprovada a presente Resolução para regulamentação da notificação, identificação e qualificação de produtos de degradação em medicamentos.</w:t>
      </w:r>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Parágrafo único. Esta Resolução estabelece parâmetros para a verificação de produtos de degradação em medicamentos, para elaboração do perfil de degradação correspondente e para a notificação, identificação e qualificação dos produtos de degradação formados ao longo do prazo de validade do medicamento.</w:t>
      </w:r>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Art. 2º O disposto nesta Resolução se aplica aos medicamentos com substâncias ativas sintéticas e semissintéticas, classificados como novos, genéricos e similares.</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 1º Esta Resolução não se aplica aos produtos biológicos/ biotecnológicos, excipientes, peptídeos, </w:t>
      </w:r>
      <w:proofErr w:type="spellStart"/>
      <w:r w:rsidRPr="00620592">
        <w:rPr>
          <w:rFonts w:ascii="Times New Roman" w:eastAsia="Times New Roman" w:hAnsi="Times New Roman" w:cs="Times New Roman"/>
          <w:color w:val="000000"/>
          <w:sz w:val="24"/>
          <w:szCs w:val="24"/>
          <w:lang w:eastAsia="pt-BR"/>
        </w:rPr>
        <w:t>oligonucleotídeos</w:t>
      </w:r>
      <w:proofErr w:type="spellEnd"/>
      <w:r w:rsidRPr="00620592">
        <w:rPr>
          <w:rFonts w:ascii="Times New Roman" w:eastAsia="Times New Roman" w:hAnsi="Times New Roman" w:cs="Times New Roman"/>
          <w:color w:val="000000"/>
          <w:sz w:val="24"/>
          <w:szCs w:val="24"/>
          <w:lang w:eastAsia="pt-BR"/>
        </w:rPr>
        <w:t xml:space="preserve">, </w:t>
      </w:r>
      <w:proofErr w:type="spellStart"/>
      <w:r w:rsidRPr="00620592">
        <w:rPr>
          <w:rFonts w:ascii="Times New Roman" w:eastAsia="Times New Roman" w:hAnsi="Times New Roman" w:cs="Times New Roman"/>
          <w:color w:val="000000"/>
          <w:sz w:val="24"/>
          <w:szCs w:val="24"/>
          <w:lang w:eastAsia="pt-BR"/>
        </w:rPr>
        <w:t>radiofármacos</w:t>
      </w:r>
      <w:proofErr w:type="spellEnd"/>
      <w:r w:rsidRPr="00620592">
        <w:rPr>
          <w:rFonts w:ascii="Times New Roman" w:eastAsia="Times New Roman" w:hAnsi="Times New Roman" w:cs="Times New Roman"/>
          <w:color w:val="000000"/>
          <w:sz w:val="24"/>
          <w:szCs w:val="24"/>
          <w:lang w:eastAsia="pt-BR"/>
        </w:rPr>
        <w:t xml:space="preserve">, produtos de fermentação e derivados, produtos fitoterápicos, produtos brutos de origem animal, medicamentos específicos, medicamentos à base de vitaminas e/ou minerais associados entre si ou isolados, </w:t>
      </w:r>
      <w:proofErr w:type="spellStart"/>
      <w:r w:rsidRPr="00620592">
        <w:rPr>
          <w:rFonts w:ascii="Times New Roman" w:eastAsia="Times New Roman" w:hAnsi="Times New Roman" w:cs="Times New Roman"/>
          <w:color w:val="000000"/>
          <w:sz w:val="24"/>
          <w:szCs w:val="24"/>
          <w:lang w:eastAsia="pt-BR"/>
        </w:rPr>
        <w:t>poliaminoácidos</w:t>
      </w:r>
      <w:proofErr w:type="spellEnd"/>
      <w:r w:rsidRPr="00620592">
        <w:rPr>
          <w:rFonts w:ascii="Times New Roman" w:eastAsia="Times New Roman" w:hAnsi="Times New Roman" w:cs="Times New Roman"/>
          <w:color w:val="000000"/>
          <w:sz w:val="24"/>
          <w:szCs w:val="24"/>
          <w:lang w:eastAsia="pt-BR"/>
        </w:rPr>
        <w:t>, os de notificação simplificada, bem como aos produtos usados nas etapas de desen</w:t>
      </w:r>
      <w:r w:rsidR="00A3435F">
        <w:rPr>
          <w:rFonts w:ascii="Times New Roman" w:eastAsia="Times New Roman" w:hAnsi="Times New Roman" w:cs="Times New Roman"/>
          <w:color w:val="000000"/>
          <w:sz w:val="24"/>
          <w:szCs w:val="24"/>
          <w:lang w:eastAsia="pt-BR"/>
        </w:rPr>
        <w:t>volvimento de estudos clínicos.</w:t>
      </w:r>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2º Para fins de controle de produtos de degradação dos produtos especificados no §1º, deverão ser adotados testes específicos, quando existentes. Diante da inexistência de testes específicos, deve ser garantido o controle daqueles produtos de degradação que apresentem relevante toxicidade ou que gerem ineficácia terapêutica.</w:t>
      </w:r>
    </w:p>
    <w:p w:rsid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Art. 3º Para efeito desta Resolução são adotadas as seguintes definições:</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lastRenderedPageBreak/>
        <w:t xml:space="preserve">I - </w:t>
      </w:r>
      <w:proofErr w:type="gramStart"/>
      <w:r w:rsidRPr="00620592">
        <w:rPr>
          <w:rFonts w:ascii="Times New Roman" w:eastAsia="Times New Roman" w:hAnsi="Times New Roman" w:cs="Times New Roman"/>
          <w:color w:val="000000"/>
          <w:sz w:val="24"/>
          <w:szCs w:val="24"/>
          <w:lang w:eastAsia="pt-BR"/>
        </w:rPr>
        <w:t>estudo</w:t>
      </w:r>
      <w:proofErr w:type="gramEnd"/>
      <w:r w:rsidRPr="00620592">
        <w:rPr>
          <w:rFonts w:ascii="Times New Roman" w:eastAsia="Times New Roman" w:hAnsi="Times New Roman" w:cs="Times New Roman"/>
          <w:color w:val="000000"/>
          <w:sz w:val="24"/>
          <w:szCs w:val="24"/>
          <w:lang w:eastAsia="pt-BR"/>
        </w:rPr>
        <w:t xml:space="preserve"> de degradação forçada: estudo que permite a geração de produtos de degradação através da exposição do insumo farmacêutico ativo e produto acabado a condições de estresse, como por exemplo, luz, temperatura, calor, umidade, hidrólise ácida/ básica e oxidação, entre outras. Este estudo permite o desenvolvimento de métodos indicativos de estabilidade com especificidade e seletividade adequada, bem como fornecer informações acerca das possíveis rotas de degradação de um determinado produto;</w:t>
      </w:r>
    </w:p>
    <w:p w:rsidR="00F10C4E"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II - impureza: qualquer componente presente no insumo farmacêutico ou no produto terminado que não seja o insumo farmacêutico ativo nem </w:t>
      </w:r>
      <w:proofErr w:type="gramStart"/>
      <w:r w:rsidRPr="00620592">
        <w:rPr>
          <w:rFonts w:ascii="Times New Roman" w:eastAsia="Times New Roman" w:hAnsi="Times New Roman" w:cs="Times New Roman"/>
          <w:color w:val="000000"/>
          <w:sz w:val="24"/>
          <w:szCs w:val="24"/>
          <w:lang w:eastAsia="pt-BR"/>
        </w:rPr>
        <w:t>o(</w:t>
      </w:r>
      <w:proofErr w:type="gramEnd"/>
      <w:r w:rsidRPr="00620592">
        <w:rPr>
          <w:rFonts w:ascii="Times New Roman" w:eastAsia="Times New Roman" w:hAnsi="Times New Roman" w:cs="Times New Roman"/>
          <w:color w:val="000000"/>
          <w:sz w:val="24"/>
          <w:szCs w:val="24"/>
          <w:lang w:eastAsia="pt-BR"/>
        </w:rPr>
        <w:t>s) excipiente(s).</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III - limite de identificação: valor acima do qual um produto de degradação deverá ter sua estrutura química identificada;</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IV - limite de notificação: valor acima do qual um produto de degradação deverá ser reportado </w:t>
      </w:r>
      <w:proofErr w:type="gramStart"/>
      <w:r w:rsidRPr="00620592">
        <w:rPr>
          <w:rFonts w:ascii="Times New Roman" w:eastAsia="Times New Roman" w:hAnsi="Times New Roman" w:cs="Times New Roman"/>
          <w:color w:val="000000"/>
          <w:sz w:val="24"/>
          <w:szCs w:val="24"/>
          <w:lang w:eastAsia="pt-BR"/>
        </w:rPr>
        <w:t>no(</w:t>
      </w:r>
      <w:proofErr w:type="gramEnd"/>
      <w:r w:rsidRPr="00620592">
        <w:rPr>
          <w:rFonts w:ascii="Times New Roman" w:eastAsia="Times New Roman" w:hAnsi="Times New Roman" w:cs="Times New Roman"/>
          <w:color w:val="000000"/>
          <w:sz w:val="24"/>
          <w:szCs w:val="24"/>
          <w:lang w:eastAsia="pt-BR"/>
        </w:rPr>
        <w:t>s) estudo(s) de estabilidade;</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V - </w:t>
      </w:r>
      <w:proofErr w:type="gramStart"/>
      <w:r w:rsidRPr="00620592">
        <w:rPr>
          <w:rFonts w:ascii="Times New Roman" w:eastAsia="Times New Roman" w:hAnsi="Times New Roman" w:cs="Times New Roman"/>
          <w:color w:val="000000"/>
          <w:sz w:val="24"/>
          <w:szCs w:val="24"/>
          <w:lang w:eastAsia="pt-BR"/>
        </w:rPr>
        <w:t>limite</w:t>
      </w:r>
      <w:proofErr w:type="gramEnd"/>
      <w:r w:rsidRPr="00620592">
        <w:rPr>
          <w:rFonts w:ascii="Times New Roman" w:eastAsia="Times New Roman" w:hAnsi="Times New Roman" w:cs="Times New Roman"/>
          <w:color w:val="000000"/>
          <w:sz w:val="24"/>
          <w:szCs w:val="24"/>
          <w:lang w:eastAsia="pt-BR"/>
        </w:rPr>
        <w:t xml:space="preserve"> de qualificação: valor acima do qual um produto de degradação deverá ser qualificado;</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VI - </w:t>
      </w:r>
      <w:proofErr w:type="gramStart"/>
      <w:r w:rsidRPr="00620592">
        <w:rPr>
          <w:rFonts w:ascii="Times New Roman" w:eastAsia="Times New Roman" w:hAnsi="Times New Roman" w:cs="Times New Roman"/>
          <w:color w:val="000000"/>
          <w:sz w:val="24"/>
          <w:szCs w:val="24"/>
          <w:lang w:eastAsia="pt-BR"/>
        </w:rPr>
        <w:t>perfil</w:t>
      </w:r>
      <w:proofErr w:type="gramEnd"/>
      <w:r w:rsidRPr="00620592">
        <w:rPr>
          <w:rFonts w:ascii="Times New Roman" w:eastAsia="Times New Roman" w:hAnsi="Times New Roman" w:cs="Times New Roman"/>
          <w:color w:val="000000"/>
          <w:sz w:val="24"/>
          <w:szCs w:val="24"/>
          <w:lang w:eastAsia="pt-BR"/>
        </w:rPr>
        <w:t xml:space="preserve"> de degradação: descrição dos resultados e das atividades analíticas utilizadas na detecção, identificação, elucidação estrutural e determinação quantitativa dos produtos de degradação presentes no insumo farmacêutico ativo e no medicamento;</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VII - pureza cromatográfica do pico do insumo farmacêutico ativo: comprovação de que não há interferência de excipientes, impurezas e produtos de degradação no pico cromatográfico do insumo farmacêutico ativo;</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VIII - produtos de degradação: impurezas resultantes de alterações químicas que surgem durante a fabricação ou armazenamento do medicamento; e</w:t>
      </w:r>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IX - </w:t>
      </w:r>
      <w:proofErr w:type="gramStart"/>
      <w:r w:rsidRPr="00620592">
        <w:rPr>
          <w:rFonts w:ascii="Times New Roman" w:eastAsia="Times New Roman" w:hAnsi="Times New Roman" w:cs="Times New Roman"/>
          <w:color w:val="000000"/>
          <w:sz w:val="24"/>
          <w:szCs w:val="24"/>
          <w:lang w:eastAsia="pt-BR"/>
        </w:rPr>
        <w:t>qualificação</w:t>
      </w:r>
      <w:proofErr w:type="gramEnd"/>
      <w:r w:rsidRPr="00620592">
        <w:rPr>
          <w:rFonts w:ascii="Times New Roman" w:eastAsia="Times New Roman" w:hAnsi="Times New Roman" w:cs="Times New Roman"/>
          <w:color w:val="000000"/>
          <w:sz w:val="24"/>
          <w:szCs w:val="24"/>
          <w:lang w:eastAsia="pt-BR"/>
        </w:rPr>
        <w:t xml:space="preserve"> de produtos de degradação: Avaliação da segurança biológica de um produto de degradação individual ou de um dado perfil de degradação em um nível especificado.</w:t>
      </w:r>
    </w:p>
    <w:p w:rsid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Art. 4º O estudo do perfil de degradação forçada deve obedecer aos seguintes requisitos:</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I - </w:t>
      </w:r>
      <w:proofErr w:type="gramStart"/>
      <w:r w:rsidRPr="00620592">
        <w:rPr>
          <w:rFonts w:ascii="Times New Roman" w:eastAsia="Times New Roman" w:hAnsi="Times New Roman" w:cs="Times New Roman"/>
          <w:color w:val="000000"/>
          <w:sz w:val="24"/>
          <w:szCs w:val="24"/>
          <w:lang w:eastAsia="pt-BR"/>
        </w:rPr>
        <w:t>condução</w:t>
      </w:r>
      <w:proofErr w:type="gramEnd"/>
      <w:r w:rsidRPr="00620592">
        <w:rPr>
          <w:rFonts w:ascii="Times New Roman" w:eastAsia="Times New Roman" w:hAnsi="Times New Roman" w:cs="Times New Roman"/>
          <w:color w:val="000000"/>
          <w:sz w:val="24"/>
          <w:szCs w:val="24"/>
          <w:lang w:eastAsia="pt-BR"/>
        </w:rPr>
        <w:t xml:space="preserve"> do estudo em um lote, em escala laboratorial, piloto ou industrial do medicamento; e</w:t>
      </w:r>
    </w:p>
    <w:p w:rsid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II - para fins de comparação a execução do estudo deve ser feita também com a formulação, com o placebo e no </w:t>
      </w:r>
      <w:proofErr w:type="gramStart"/>
      <w:r w:rsidRPr="00620592">
        <w:rPr>
          <w:rFonts w:ascii="Times New Roman" w:eastAsia="Times New Roman" w:hAnsi="Times New Roman" w:cs="Times New Roman"/>
          <w:color w:val="000000"/>
          <w:sz w:val="24"/>
          <w:szCs w:val="24"/>
          <w:lang w:eastAsia="pt-BR"/>
        </w:rPr>
        <w:t>insumo(</w:t>
      </w:r>
      <w:proofErr w:type="gramEnd"/>
      <w:r w:rsidRPr="00620592">
        <w:rPr>
          <w:rFonts w:ascii="Times New Roman" w:eastAsia="Times New Roman" w:hAnsi="Times New Roman" w:cs="Times New Roman"/>
          <w:color w:val="000000"/>
          <w:sz w:val="24"/>
          <w:szCs w:val="24"/>
          <w:lang w:eastAsia="pt-BR"/>
        </w:rPr>
        <w:t>s) farmacêutico(s) ativo(s) isolado(s) e associado(s) no caso de associações em dose fixa.</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1° O estudo do perfil de degradação forçada deve ser realizado em todas as concentrações do medicamento.</w:t>
      </w:r>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lastRenderedPageBreak/>
        <w:t>§ 2° No caso das associações em dose fixa, deverão ser executados também os estudos de degradação forçada com os insumos farmacêuticos ativos isolados, associados e na formulação.</w:t>
      </w:r>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Art. 5º A empresa deverá apresentar estudos submetendo a amostra às seguintes condições de degradação forçada:</w:t>
      </w:r>
    </w:p>
    <w:p w:rsidR="00CE43FF" w:rsidRDefault="00620592" w:rsidP="00CE43FF">
      <w:pPr>
        <w:spacing w:line="240" w:lineRule="auto"/>
        <w:ind w:firstLine="567"/>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I - </w:t>
      </w:r>
      <w:proofErr w:type="gramStart"/>
      <w:r w:rsidRPr="00620592">
        <w:rPr>
          <w:rFonts w:ascii="Times New Roman" w:eastAsia="Times New Roman" w:hAnsi="Times New Roman" w:cs="Times New Roman"/>
          <w:color w:val="000000"/>
          <w:sz w:val="24"/>
          <w:szCs w:val="24"/>
          <w:lang w:eastAsia="pt-BR"/>
        </w:rPr>
        <w:t>aquecimento</w:t>
      </w:r>
      <w:proofErr w:type="gramEnd"/>
      <w:r w:rsidRPr="00620592">
        <w:rPr>
          <w:rFonts w:ascii="Times New Roman" w:eastAsia="Times New Roman" w:hAnsi="Times New Roman" w:cs="Times New Roman"/>
          <w:color w:val="000000"/>
          <w:sz w:val="24"/>
          <w:szCs w:val="24"/>
          <w:lang w:eastAsia="pt-BR"/>
        </w:rPr>
        <w:t>;</w:t>
      </w:r>
    </w:p>
    <w:p w:rsidR="00CE43FF" w:rsidRDefault="00620592" w:rsidP="00CE43FF">
      <w:pPr>
        <w:spacing w:line="240" w:lineRule="auto"/>
        <w:ind w:firstLine="567"/>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II - </w:t>
      </w:r>
      <w:proofErr w:type="gramStart"/>
      <w:r w:rsidRPr="00620592">
        <w:rPr>
          <w:rFonts w:ascii="Times New Roman" w:eastAsia="Times New Roman" w:hAnsi="Times New Roman" w:cs="Times New Roman"/>
          <w:color w:val="000000"/>
          <w:sz w:val="24"/>
          <w:szCs w:val="24"/>
          <w:lang w:eastAsia="pt-BR"/>
        </w:rPr>
        <w:t>umidade</w:t>
      </w:r>
      <w:proofErr w:type="gramEnd"/>
      <w:r w:rsidRPr="00620592">
        <w:rPr>
          <w:rFonts w:ascii="Times New Roman" w:eastAsia="Times New Roman" w:hAnsi="Times New Roman" w:cs="Times New Roman"/>
          <w:color w:val="000000"/>
          <w:sz w:val="24"/>
          <w:szCs w:val="24"/>
          <w:lang w:eastAsia="pt-BR"/>
        </w:rPr>
        <w:t>;</w:t>
      </w:r>
    </w:p>
    <w:p w:rsidR="00CE43FF" w:rsidRDefault="00620592" w:rsidP="00CE43FF">
      <w:pPr>
        <w:spacing w:line="240" w:lineRule="auto"/>
        <w:ind w:firstLine="567"/>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III - solução ácida;</w:t>
      </w:r>
    </w:p>
    <w:p w:rsidR="00CE43FF" w:rsidRDefault="00620592" w:rsidP="00CE43FF">
      <w:pPr>
        <w:spacing w:line="240" w:lineRule="auto"/>
        <w:ind w:firstLine="567"/>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IV - </w:t>
      </w:r>
      <w:proofErr w:type="gramStart"/>
      <w:r w:rsidRPr="00620592">
        <w:rPr>
          <w:rFonts w:ascii="Times New Roman" w:eastAsia="Times New Roman" w:hAnsi="Times New Roman" w:cs="Times New Roman"/>
          <w:color w:val="000000"/>
          <w:sz w:val="24"/>
          <w:szCs w:val="24"/>
          <w:lang w:eastAsia="pt-BR"/>
        </w:rPr>
        <w:t>solução</w:t>
      </w:r>
      <w:proofErr w:type="gramEnd"/>
      <w:r w:rsidRPr="00620592">
        <w:rPr>
          <w:rFonts w:ascii="Times New Roman" w:eastAsia="Times New Roman" w:hAnsi="Times New Roman" w:cs="Times New Roman"/>
          <w:color w:val="000000"/>
          <w:sz w:val="24"/>
          <w:szCs w:val="24"/>
          <w:lang w:eastAsia="pt-BR"/>
        </w:rPr>
        <w:t xml:space="preserve"> básica;</w:t>
      </w:r>
    </w:p>
    <w:p w:rsidR="00CE43FF" w:rsidRDefault="00620592" w:rsidP="00CE43FF">
      <w:pPr>
        <w:spacing w:line="240" w:lineRule="auto"/>
        <w:ind w:firstLine="567"/>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V - </w:t>
      </w:r>
      <w:proofErr w:type="gramStart"/>
      <w:r w:rsidRPr="00620592">
        <w:rPr>
          <w:rFonts w:ascii="Times New Roman" w:eastAsia="Times New Roman" w:hAnsi="Times New Roman" w:cs="Times New Roman"/>
          <w:color w:val="000000"/>
          <w:sz w:val="24"/>
          <w:szCs w:val="24"/>
          <w:lang w:eastAsia="pt-BR"/>
        </w:rPr>
        <w:t>solução</w:t>
      </w:r>
      <w:proofErr w:type="gramEnd"/>
      <w:r w:rsidRPr="00620592">
        <w:rPr>
          <w:rFonts w:ascii="Times New Roman" w:eastAsia="Times New Roman" w:hAnsi="Times New Roman" w:cs="Times New Roman"/>
          <w:color w:val="000000"/>
          <w:sz w:val="24"/>
          <w:szCs w:val="24"/>
          <w:lang w:eastAsia="pt-BR"/>
        </w:rPr>
        <w:t xml:space="preserve"> oxidante;</w:t>
      </w:r>
    </w:p>
    <w:p w:rsidR="00CE43FF" w:rsidRDefault="00620592" w:rsidP="00CE43FF">
      <w:pPr>
        <w:spacing w:line="240" w:lineRule="auto"/>
        <w:ind w:firstLine="567"/>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VI - </w:t>
      </w:r>
      <w:proofErr w:type="gramStart"/>
      <w:r w:rsidRPr="00620592">
        <w:rPr>
          <w:rFonts w:ascii="Times New Roman" w:eastAsia="Times New Roman" w:hAnsi="Times New Roman" w:cs="Times New Roman"/>
          <w:color w:val="000000"/>
          <w:sz w:val="24"/>
          <w:szCs w:val="24"/>
          <w:lang w:eastAsia="pt-BR"/>
        </w:rPr>
        <w:t>exposição</w:t>
      </w:r>
      <w:proofErr w:type="gramEnd"/>
      <w:r w:rsidRPr="00620592">
        <w:rPr>
          <w:rFonts w:ascii="Times New Roman" w:eastAsia="Times New Roman" w:hAnsi="Times New Roman" w:cs="Times New Roman"/>
          <w:color w:val="000000"/>
          <w:sz w:val="24"/>
          <w:szCs w:val="24"/>
          <w:lang w:eastAsia="pt-BR"/>
        </w:rPr>
        <w:t xml:space="preserve"> </w:t>
      </w:r>
      <w:proofErr w:type="spellStart"/>
      <w:r w:rsidRPr="00620592">
        <w:rPr>
          <w:rFonts w:ascii="Times New Roman" w:eastAsia="Times New Roman" w:hAnsi="Times New Roman" w:cs="Times New Roman"/>
          <w:color w:val="000000"/>
          <w:sz w:val="24"/>
          <w:szCs w:val="24"/>
          <w:lang w:eastAsia="pt-BR"/>
        </w:rPr>
        <w:t>fotolítica</w:t>
      </w:r>
      <w:proofErr w:type="spellEnd"/>
      <w:r w:rsidRPr="00620592">
        <w:rPr>
          <w:rFonts w:ascii="Times New Roman" w:eastAsia="Times New Roman" w:hAnsi="Times New Roman" w:cs="Times New Roman"/>
          <w:color w:val="000000"/>
          <w:sz w:val="24"/>
          <w:szCs w:val="24"/>
          <w:lang w:eastAsia="pt-BR"/>
        </w:rPr>
        <w:t>; e</w:t>
      </w:r>
    </w:p>
    <w:p w:rsidR="00620592" w:rsidRPr="00620592" w:rsidRDefault="00620592" w:rsidP="00CE43FF">
      <w:pPr>
        <w:spacing w:line="240" w:lineRule="auto"/>
        <w:ind w:firstLine="567"/>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VII - íons metálicos.</w:t>
      </w:r>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Parágrafo único. Caso as condições acima não possam ser empregadas devido às características inerentes à amostra ou não sejam aplicáveis, deve-se justificar tecnicamente a não utilização de qualquer uma dessas condições.</w:t>
      </w:r>
    </w:p>
    <w:p w:rsid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Art.6° Os estudos de degradação forçada devem promover degradação em extensão suficiente a fim de permitir avaliação da formação de produtos de degradação.</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1º Os testes devem promover uma degradação superior a 10% (dez por cento) e inferior àquela que levaria à degradação completa da amostra, comprometendo o teste.</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2º Nos testes em que a degradação for inferior a 10% (dez por cento), a empresa deve apresentar justificativa técnica fundamentada.</w:t>
      </w:r>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 3º Os resultados dos ensaios servirão de suporte para o desenvolvimento e validação da metodologia de análise </w:t>
      </w:r>
      <w:proofErr w:type="gramStart"/>
      <w:r w:rsidRPr="00620592">
        <w:rPr>
          <w:rFonts w:ascii="Times New Roman" w:eastAsia="Times New Roman" w:hAnsi="Times New Roman" w:cs="Times New Roman"/>
          <w:color w:val="000000"/>
          <w:sz w:val="24"/>
          <w:szCs w:val="24"/>
          <w:lang w:eastAsia="pt-BR"/>
        </w:rPr>
        <w:t>do(</w:t>
      </w:r>
      <w:proofErr w:type="gramEnd"/>
      <w:r w:rsidRPr="00620592">
        <w:rPr>
          <w:rFonts w:ascii="Times New Roman" w:eastAsia="Times New Roman" w:hAnsi="Times New Roman" w:cs="Times New Roman"/>
          <w:color w:val="000000"/>
          <w:sz w:val="24"/>
          <w:szCs w:val="24"/>
          <w:lang w:eastAsia="pt-BR"/>
        </w:rPr>
        <w:t>s) produto(  s) de degradação formado(s) e para a análise crítica do perfil de degradação do medicamento.</w:t>
      </w:r>
    </w:p>
    <w:p w:rsid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Art. 7º A análise crítica do perfil de degradação deve contemplar:</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I - </w:t>
      </w:r>
      <w:proofErr w:type="gramStart"/>
      <w:r w:rsidRPr="00620592">
        <w:rPr>
          <w:rFonts w:ascii="Times New Roman" w:eastAsia="Times New Roman" w:hAnsi="Times New Roman" w:cs="Times New Roman"/>
          <w:color w:val="000000"/>
          <w:sz w:val="24"/>
          <w:szCs w:val="24"/>
          <w:lang w:eastAsia="pt-BR"/>
        </w:rPr>
        <w:t>verificação</w:t>
      </w:r>
      <w:proofErr w:type="gramEnd"/>
      <w:r w:rsidRPr="00620592">
        <w:rPr>
          <w:rFonts w:ascii="Times New Roman" w:eastAsia="Times New Roman" w:hAnsi="Times New Roman" w:cs="Times New Roman"/>
          <w:color w:val="000000"/>
          <w:sz w:val="24"/>
          <w:szCs w:val="24"/>
          <w:lang w:eastAsia="pt-BR"/>
        </w:rPr>
        <w:t xml:space="preserve"> da pureza cromatográfica do pico do insumo farmacêutico ativo no medicamento;</w:t>
      </w:r>
      <w:r w:rsidR="00A3435F">
        <w:rPr>
          <w:rFonts w:ascii="Times New Roman" w:eastAsia="Times New Roman" w:hAnsi="Times New Roman" w:cs="Times New Roman"/>
          <w:color w:val="000000"/>
          <w:sz w:val="24"/>
          <w:szCs w:val="24"/>
          <w:lang w:eastAsia="pt-BR"/>
        </w:rPr>
        <w:t xml:space="preserve"> </w:t>
      </w:r>
      <w:r w:rsidRPr="00620592">
        <w:rPr>
          <w:rFonts w:ascii="Times New Roman" w:eastAsia="Times New Roman" w:hAnsi="Times New Roman" w:cs="Times New Roman"/>
          <w:color w:val="000000"/>
          <w:sz w:val="24"/>
          <w:szCs w:val="24"/>
          <w:lang w:eastAsia="pt-BR"/>
        </w:rPr>
        <w:t>e</w:t>
      </w:r>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II - </w:t>
      </w:r>
      <w:proofErr w:type="gramStart"/>
      <w:r w:rsidRPr="00620592">
        <w:rPr>
          <w:rFonts w:ascii="Times New Roman" w:eastAsia="Times New Roman" w:hAnsi="Times New Roman" w:cs="Times New Roman"/>
          <w:color w:val="000000"/>
          <w:sz w:val="24"/>
          <w:szCs w:val="24"/>
          <w:lang w:eastAsia="pt-BR"/>
        </w:rPr>
        <w:t>avaliação</w:t>
      </w:r>
      <w:proofErr w:type="gramEnd"/>
      <w:r w:rsidRPr="00620592">
        <w:rPr>
          <w:rFonts w:ascii="Times New Roman" w:eastAsia="Times New Roman" w:hAnsi="Times New Roman" w:cs="Times New Roman"/>
          <w:color w:val="000000"/>
          <w:sz w:val="24"/>
          <w:szCs w:val="24"/>
          <w:lang w:eastAsia="pt-BR"/>
        </w:rPr>
        <w:t xml:space="preserve"> dos fatores que podem interferir de alguma forma </w:t>
      </w:r>
      <w:r w:rsidR="00A3435F">
        <w:rPr>
          <w:rFonts w:ascii="Times New Roman" w:eastAsia="Times New Roman" w:hAnsi="Times New Roman" w:cs="Times New Roman"/>
          <w:color w:val="000000"/>
          <w:sz w:val="24"/>
          <w:szCs w:val="24"/>
          <w:lang w:eastAsia="pt-BR"/>
        </w:rPr>
        <w:t>na estabilidade do medicamento.</w:t>
      </w:r>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Art. 8° Os testes e os respectivos resultados dos ensaios de degradação forçada deverão ser refeitos e reapresentados quando forem solicitadas:</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I - </w:t>
      </w:r>
      <w:proofErr w:type="gramStart"/>
      <w:r w:rsidRPr="00620592">
        <w:rPr>
          <w:rFonts w:ascii="Times New Roman" w:eastAsia="Times New Roman" w:hAnsi="Times New Roman" w:cs="Times New Roman"/>
          <w:color w:val="000000"/>
          <w:sz w:val="24"/>
          <w:szCs w:val="24"/>
          <w:lang w:eastAsia="pt-BR"/>
        </w:rPr>
        <w:t>alterações</w:t>
      </w:r>
      <w:proofErr w:type="gramEnd"/>
      <w:r w:rsidRPr="00620592">
        <w:rPr>
          <w:rFonts w:ascii="Times New Roman" w:eastAsia="Times New Roman" w:hAnsi="Times New Roman" w:cs="Times New Roman"/>
          <w:color w:val="000000"/>
          <w:sz w:val="24"/>
          <w:szCs w:val="24"/>
          <w:lang w:eastAsia="pt-BR"/>
        </w:rPr>
        <w:t xml:space="preserve"> ou inclusões na rota de síntese do insumo farmacêutico ativo; ou</w:t>
      </w:r>
    </w:p>
    <w:p w:rsid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lastRenderedPageBreak/>
        <w:t xml:space="preserve">II - </w:t>
      </w:r>
      <w:proofErr w:type="gramStart"/>
      <w:r w:rsidRPr="00620592">
        <w:rPr>
          <w:rFonts w:ascii="Times New Roman" w:eastAsia="Times New Roman" w:hAnsi="Times New Roman" w:cs="Times New Roman"/>
          <w:color w:val="000000"/>
          <w:sz w:val="24"/>
          <w:szCs w:val="24"/>
          <w:lang w:eastAsia="pt-BR"/>
        </w:rPr>
        <w:t>mudanças</w:t>
      </w:r>
      <w:proofErr w:type="gramEnd"/>
      <w:r w:rsidRPr="00620592">
        <w:rPr>
          <w:rFonts w:ascii="Times New Roman" w:eastAsia="Times New Roman" w:hAnsi="Times New Roman" w:cs="Times New Roman"/>
          <w:color w:val="000000"/>
          <w:sz w:val="24"/>
          <w:szCs w:val="24"/>
          <w:lang w:eastAsia="pt-BR"/>
        </w:rPr>
        <w:t xml:space="preserve"> quantitativas e qualitativas de excipiente na composição do produto acabado.</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1º Na existência de mais de um fabricante do insumo farmacêutico ativo, os resultados de degradação forçada deverão ser avaliados para cada fabricante.</w:t>
      </w:r>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2º Nos casos de mudanças quantitativas de excipiente, poderá ser enviado o estudo do perfil de degradação e justificativa técnica com racional para uso do estudo de degradação forçada já realizado com a formulação antiga, sem necessidade de realização de um novo estudo de degradação forçada. A justificativa técnica deve demonstrar a impossibilidade de formação de novos produtos de degradação.</w:t>
      </w:r>
    </w:p>
    <w:p w:rsidR="00A3435F" w:rsidRDefault="00620592" w:rsidP="00CE43FF">
      <w:pPr>
        <w:spacing w:line="240" w:lineRule="auto"/>
        <w:ind w:firstLine="567"/>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Art. 9° A necessidade de notificação, identificação e qualificação </w:t>
      </w:r>
      <w:proofErr w:type="gramStart"/>
      <w:r w:rsidRPr="00620592">
        <w:rPr>
          <w:rFonts w:ascii="Times New Roman" w:eastAsia="Times New Roman" w:hAnsi="Times New Roman" w:cs="Times New Roman"/>
          <w:color w:val="000000"/>
          <w:sz w:val="24"/>
          <w:szCs w:val="24"/>
          <w:lang w:eastAsia="pt-BR"/>
        </w:rPr>
        <w:t>do(</w:t>
      </w:r>
      <w:proofErr w:type="gramEnd"/>
      <w:r w:rsidRPr="00620592">
        <w:rPr>
          <w:rFonts w:ascii="Times New Roman" w:eastAsia="Times New Roman" w:hAnsi="Times New Roman" w:cs="Times New Roman"/>
          <w:color w:val="000000"/>
          <w:sz w:val="24"/>
          <w:szCs w:val="24"/>
          <w:lang w:eastAsia="pt-BR"/>
        </w:rPr>
        <w:t>s) produto(s) de degradação no decorrer do estudo de estabilidade do medicamento deverá ser avaliada com base nas informa</w:t>
      </w:r>
      <w:r w:rsidR="00A3435F">
        <w:rPr>
          <w:rFonts w:ascii="Times New Roman" w:eastAsia="Times New Roman" w:hAnsi="Times New Roman" w:cs="Times New Roman"/>
          <w:color w:val="000000"/>
          <w:sz w:val="24"/>
          <w:szCs w:val="24"/>
          <w:lang w:eastAsia="pt-BR"/>
        </w:rPr>
        <w:t>ções contidas na tabela abaixo:</w:t>
      </w:r>
    </w:p>
    <w:p w:rsidR="00620592" w:rsidRPr="00620592" w:rsidRDefault="00620592" w:rsidP="00A3435F">
      <w:pPr>
        <w:spacing w:after="0" w:line="240" w:lineRule="auto"/>
        <w:rPr>
          <w:rFonts w:ascii="Times New Roman" w:eastAsia="Times New Roman" w:hAnsi="Times New Roman" w:cs="Times New Roman"/>
          <w:color w:val="000000"/>
          <w:sz w:val="24"/>
          <w:szCs w:val="24"/>
          <w:lang w:eastAsia="pt-BR"/>
        </w:rPr>
      </w:pPr>
    </w:p>
    <w:tbl>
      <w:tblPr>
        <w:tblW w:w="0" w:type="auto"/>
        <w:jc w:val="center"/>
        <w:tblBorders>
          <w:top w:val="single" w:sz="6" w:space="0" w:color="808080"/>
          <w:left w:val="single" w:sz="6" w:space="0" w:color="808080"/>
          <w:bottom w:val="outset" w:sz="6" w:space="0" w:color="auto"/>
          <w:right w:val="outset" w:sz="6" w:space="0" w:color="auto"/>
        </w:tblBorders>
        <w:tblCellMar>
          <w:left w:w="0" w:type="dxa"/>
          <w:right w:w="0" w:type="dxa"/>
        </w:tblCellMar>
        <w:tblLook w:val="04A0" w:firstRow="1" w:lastRow="0" w:firstColumn="1" w:lastColumn="0" w:noHBand="0" w:noVBand="1"/>
      </w:tblPr>
      <w:tblGrid>
        <w:gridCol w:w="2739"/>
        <w:gridCol w:w="2304"/>
        <w:gridCol w:w="3456"/>
      </w:tblGrid>
      <w:tr w:rsidR="00620592" w:rsidRPr="00620592" w:rsidTr="00F10C4E">
        <w:trPr>
          <w:trHeight w:val="150"/>
          <w:jc w:val="center"/>
        </w:trPr>
        <w:tc>
          <w:tcPr>
            <w:tcW w:w="2739"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 </w:t>
            </w:r>
          </w:p>
        </w:tc>
        <w:tc>
          <w:tcPr>
            <w:tcW w:w="2304"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CE43FF" w:rsidRDefault="00620592" w:rsidP="00A3435F">
            <w:pPr>
              <w:spacing w:before="150" w:after="150" w:line="240" w:lineRule="auto"/>
              <w:jc w:val="both"/>
              <w:rPr>
                <w:rFonts w:ascii="Times New Roman" w:eastAsia="Times New Roman" w:hAnsi="Times New Roman" w:cs="Times New Roman"/>
                <w:b/>
                <w:sz w:val="24"/>
                <w:szCs w:val="24"/>
                <w:lang w:eastAsia="pt-BR"/>
              </w:rPr>
            </w:pPr>
            <w:r w:rsidRPr="00CE43FF">
              <w:rPr>
                <w:rFonts w:ascii="Times New Roman" w:eastAsia="Times New Roman" w:hAnsi="Times New Roman" w:cs="Times New Roman"/>
                <w:b/>
                <w:sz w:val="24"/>
                <w:szCs w:val="24"/>
                <w:lang w:eastAsia="pt-BR"/>
              </w:rPr>
              <w:t>Dose Máxima Diária 1</w:t>
            </w:r>
          </w:p>
        </w:tc>
        <w:tc>
          <w:tcPr>
            <w:tcW w:w="3456"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CE43FF" w:rsidRDefault="00620592" w:rsidP="00A3435F">
            <w:pPr>
              <w:spacing w:before="150" w:after="150" w:line="240" w:lineRule="auto"/>
              <w:jc w:val="both"/>
              <w:rPr>
                <w:rFonts w:ascii="Times New Roman" w:eastAsia="Times New Roman" w:hAnsi="Times New Roman" w:cs="Times New Roman"/>
                <w:b/>
                <w:sz w:val="24"/>
                <w:szCs w:val="24"/>
                <w:lang w:eastAsia="pt-BR"/>
              </w:rPr>
            </w:pPr>
            <w:r w:rsidRPr="00CE43FF">
              <w:rPr>
                <w:rFonts w:ascii="Times New Roman" w:eastAsia="Times New Roman" w:hAnsi="Times New Roman" w:cs="Times New Roman"/>
                <w:b/>
                <w:sz w:val="24"/>
                <w:szCs w:val="24"/>
                <w:lang w:eastAsia="pt-BR"/>
              </w:rPr>
              <w:t>Limites 2</w:t>
            </w:r>
          </w:p>
        </w:tc>
      </w:tr>
      <w:tr w:rsidR="00620592" w:rsidRPr="00620592" w:rsidTr="00F10C4E">
        <w:trPr>
          <w:trHeight w:val="150"/>
          <w:jc w:val="center"/>
        </w:trPr>
        <w:tc>
          <w:tcPr>
            <w:tcW w:w="2739" w:type="dxa"/>
            <w:vMerge w:val="restar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Limites de Notificação</w:t>
            </w:r>
          </w:p>
        </w:tc>
        <w:tc>
          <w:tcPr>
            <w:tcW w:w="2304"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w:t>
            </w:r>
            <w:r w:rsidR="00CE43FF">
              <w:rPr>
                <w:rFonts w:ascii="Times New Roman" w:eastAsia="Times New Roman" w:hAnsi="Times New Roman" w:cs="Times New Roman"/>
                <w:sz w:val="24"/>
                <w:szCs w:val="24"/>
                <w:lang w:eastAsia="pt-BR"/>
              </w:rPr>
              <w:t>1</w:t>
            </w:r>
            <w:r w:rsidRPr="00620592">
              <w:rPr>
                <w:rFonts w:ascii="Times New Roman" w:eastAsia="Times New Roman" w:hAnsi="Times New Roman" w:cs="Times New Roman"/>
                <w:sz w:val="24"/>
                <w:szCs w:val="24"/>
                <w:lang w:eastAsia="pt-BR"/>
              </w:rPr>
              <w:t>g</w:t>
            </w:r>
          </w:p>
        </w:tc>
        <w:tc>
          <w:tcPr>
            <w:tcW w:w="3456"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0,1%</w:t>
            </w:r>
          </w:p>
        </w:tc>
      </w:tr>
      <w:tr w:rsidR="00620592" w:rsidRPr="00620592" w:rsidTr="00F10C4E">
        <w:trPr>
          <w:trHeight w:val="150"/>
          <w:jc w:val="center"/>
        </w:trPr>
        <w:tc>
          <w:tcPr>
            <w:tcW w:w="0" w:type="auto"/>
            <w:vMerge/>
            <w:tcBorders>
              <w:top w:val="outset" w:sz="6" w:space="0" w:color="auto"/>
              <w:left w:val="outset" w:sz="6" w:space="0" w:color="auto"/>
              <w:bottom w:val="single" w:sz="6" w:space="0" w:color="808080"/>
              <w:right w:val="single" w:sz="6" w:space="0" w:color="808080"/>
            </w:tcBorders>
            <w:vAlign w:val="center"/>
            <w:hideMark/>
          </w:tcPr>
          <w:p w:rsidR="00620592" w:rsidRPr="00620592" w:rsidRDefault="00620592" w:rsidP="00A3435F">
            <w:pPr>
              <w:spacing w:after="0" w:line="240" w:lineRule="auto"/>
              <w:jc w:val="both"/>
              <w:rPr>
                <w:rFonts w:ascii="Times New Roman" w:eastAsia="Times New Roman" w:hAnsi="Times New Roman" w:cs="Times New Roman"/>
                <w:sz w:val="24"/>
                <w:szCs w:val="24"/>
                <w:lang w:eastAsia="pt-BR"/>
              </w:rPr>
            </w:pPr>
          </w:p>
        </w:tc>
        <w:tc>
          <w:tcPr>
            <w:tcW w:w="2304"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&gt;1g</w:t>
            </w:r>
          </w:p>
        </w:tc>
        <w:tc>
          <w:tcPr>
            <w:tcW w:w="3456"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0,05%</w:t>
            </w:r>
          </w:p>
        </w:tc>
      </w:tr>
      <w:tr w:rsidR="00620592" w:rsidRPr="00620592" w:rsidTr="00F10C4E">
        <w:trPr>
          <w:trHeight w:val="150"/>
          <w:jc w:val="center"/>
        </w:trPr>
        <w:tc>
          <w:tcPr>
            <w:tcW w:w="2739" w:type="dxa"/>
            <w:vMerge w:val="restar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Limites de Identificação</w:t>
            </w:r>
          </w:p>
        </w:tc>
        <w:tc>
          <w:tcPr>
            <w:tcW w:w="2304"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&lt;1mg</w:t>
            </w:r>
          </w:p>
        </w:tc>
        <w:tc>
          <w:tcPr>
            <w:tcW w:w="3456"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1,0% ou 5μg ATD, o que for menor</w:t>
            </w:r>
          </w:p>
        </w:tc>
      </w:tr>
      <w:tr w:rsidR="00620592" w:rsidRPr="00620592" w:rsidTr="00F10C4E">
        <w:trPr>
          <w:trHeight w:val="150"/>
          <w:jc w:val="center"/>
        </w:trPr>
        <w:tc>
          <w:tcPr>
            <w:tcW w:w="0" w:type="auto"/>
            <w:vMerge/>
            <w:tcBorders>
              <w:top w:val="outset" w:sz="6" w:space="0" w:color="auto"/>
              <w:left w:val="outset" w:sz="6" w:space="0" w:color="auto"/>
              <w:bottom w:val="single" w:sz="6" w:space="0" w:color="808080"/>
              <w:right w:val="single" w:sz="6" w:space="0" w:color="808080"/>
            </w:tcBorders>
            <w:vAlign w:val="center"/>
            <w:hideMark/>
          </w:tcPr>
          <w:p w:rsidR="00620592" w:rsidRPr="00620592" w:rsidRDefault="00620592" w:rsidP="00A3435F">
            <w:pPr>
              <w:spacing w:after="0" w:line="240" w:lineRule="auto"/>
              <w:jc w:val="both"/>
              <w:rPr>
                <w:rFonts w:ascii="Times New Roman" w:eastAsia="Times New Roman" w:hAnsi="Times New Roman" w:cs="Times New Roman"/>
                <w:sz w:val="24"/>
                <w:szCs w:val="24"/>
                <w:lang w:eastAsia="pt-BR"/>
              </w:rPr>
            </w:pPr>
          </w:p>
        </w:tc>
        <w:tc>
          <w:tcPr>
            <w:tcW w:w="2304"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1mg-10mg</w:t>
            </w:r>
          </w:p>
        </w:tc>
        <w:tc>
          <w:tcPr>
            <w:tcW w:w="3456"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0,5% ou 20μg ATD, o que for menor</w:t>
            </w:r>
          </w:p>
        </w:tc>
      </w:tr>
      <w:tr w:rsidR="00620592" w:rsidRPr="00620592" w:rsidTr="00F10C4E">
        <w:trPr>
          <w:trHeight w:val="150"/>
          <w:jc w:val="center"/>
        </w:trPr>
        <w:tc>
          <w:tcPr>
            <w:tcW w:w="0" w:type="auto"/>
            <w:vMerge/>
            <w:tcBorders>
              <w:top w:val="outset" w:sz="6" w:space="0" w:color="auto"/>
              <w:left w:val="outset" w:sz="6" w:space="0" w:color="auto"/>
              <w:bottom w:val="single" w:sz="6" w:space="0" w:color="808080"/>
              <w:right w:val="single" w:sz="6" w:space="0" w:color="808080"/>
            </w:tcBorders>
            <w:vAlign w:val="center"/>
            <w:hideMark/>
          </w:tcPr>
          <w:p w:rsidR="00620592" w:rsidRPr="00620592" w:rsidRDefault="00620592" w:rsidP="00A3435F">
            <w:pPr>
              <w:spacing w:after="0" w:line="240" w:lineRule="auto"/>
              <w:jc w:val="both"/>
              <w:rPr>
                <w:rFonts w:ascii="Times New Roman" w:eastAsia="Times New Roman" w:hAnsi="Times New Roman" w:cs="Times New Roman"/>
                <w:sz w:val="24"/>
                <w:szCs w:val="24"/>
                <w:lang w:eastAsia="pt-BR"/>
              </w:rPr>
            </w:pPr>
          </w:p>
        </w:tc>
        <w:tc>
          <w:tcPr>
            <w:tcW w:w="2304"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&gt;10mg-2g</w:t>
            </w:r>
          </w:p>
        </w:tc>
        <w:tc>
          <w:tcPr>
            <w:tcW w:w="3456"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0,2% ou 2mg ATD, o que for menor</w:t>
            </w:r>
          </w:p>
        </w:tc>
      </w:tr>
      <w:tr w:rsidR="00620592" w:rsidRPr="00620592" w:rsidTr="00F10C4E">
        <w:trPr>
          <w:trHeight w:val="150"/>
          <w:jc w:val="center"/>
        </w:trPr>
        <w:tc>
          <w:tcPr>
            <w:tcW w:w="0" w:type="auto"/>
            <w:vMerge/>
            <w:tcBorders>
              <w:top w:val="outset" w:sz="6" w:space="0" w:color="auto"/>
              <w:left w:val="outset" w:sz="6" w:space="0" w:color="auto"/>
              <w:bottom w:val="single" w:sz="6" w:space="0" w:color="808080"/>
              <w:right w:val="single" w:sz="6" w:space="0" w:color="808080"/>
            </w:tcBorders>
            <w:vAlign w:val="center"/>
            <w:hideMark/>
          </w:tcPr>
          <w:p w:rsidR="00620592" w:rsidRPr="00620592" w:rsidRDefault="00620592" w:rsidP="00A3435F">
            <w:pPr>
              <w:spacing w:after="0" w:line="240" w:lineRule="auto"/>
              <w:jc w:val="both"/>
              <w:rPr>
                <w:rFonts w:ascii="Times New Roman" w:eastAsia="Times New Roman" w:hAnsi="Times New Roman" w:cs="Times New Roman"/>
                <w:sz w:val="24"/>
                <w:szCs w:val="24"/>
                <w:lang w:eastAsia="pt-BR"/>
              </w:rPr>
            </w:pPr>
          </w:p>
        </w:tc>
        <w:tc>
          <w:tcPr>
            <w:tcW w:w="2304"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&gt; 2g</w:t>
            </w:r>
          </w:p>
        </w:tc>
        <w:tc>
          <w:tcPr>
            <w:tcW w:w="3456"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0,10%</w:t>
            </w:r>
          </w:p>
        </w:tc>
      </w:tr>
      <w:tr w:rsidR="00620592" w:rsidRPr="00620592" w:rsidTr="00F10C4E">
        <w:trPr>
          <w:trHeight w:val="150"/>
          <w:jc w:val="center"/>
        </w:trPr>
        <w:tc>
          <w:tcPr>
            <w:tcW w:w="2739" w:type="dxa"/>
            <w:vMerge w:val="restar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Limites de Qualificação</w:t>
            </w:r>
          </w:p>
        </w:tc>
        <w:tc>
          <w:tcPr>
            <w:tcW w:w="2304"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&lt;10 mg</w:t>
            </w:r>
          </w:p>
        </w:tc>
        <w:tc>
          <w:tcPr>
            <w:tcW w:w="3456"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1,0% ou 50μg ATD, o que for menor</w:t>
            </w:r>
          </w:p>
        </w:tc>
      </w:tr>
      <w:tr w:rsidR="00620592" w:rsidRPr="00620592" w:rsidTr="00F10C4E">
        <w:trPr>
          <w:trHeight w:val="150"/>
          <w:jc w:val="center"/>
        </w:trPr>
        <w:tc>
          <w:tcPr>
            <w:tcW w:w="0" w:type="auto"/>
            <w:vMerge/>
            <w:tcBorders>
              <w:top w:val="outset" w:sz="6" w:space="0" w:color="auto"/>
              <w:left w:val="outset" w:sz="6" w:space="0" w:color="auto"/>
              <w:bottom w:val="single" w:sz="6" w:space="0" w:color="808080"/>
              <w:right w:val="single" w:sz="6" w:space="0" w:color="808080"/>
            </w:tcBorders>
            <w:vAlign w:val="center"/>
            <w:hideMark/>
          </w:tcPr>
          <w:p w:rsidR="00620592" w:rsidRPr="00620592" w:rsidRDefault="00620592" w:rsidP="00A3435F">
            <w:pPr>
              <w:spacing w:after="0" w:line="240" w:lineRule="auto"/>
              <w:jc w:val="both"/>
              <w:rPr>
                <w:rFonts w:ascii="Times New Roman" w:eastAsia="Times New Roman" w:hAnsi="Times New Roman" w:cs="Times New Roman"/>
                <w:sz w:val="24"/>
                <w:szCs w:val="24"/>
                <w:lang w:eastAsia="pt-BR"/>
              </w:rPr>
            </w:pPr>
          </w:p>
        </w:tc>
        <w:tc>
          <w:tcPr>
            <w:tcW w:w="2304"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10 mg-100mg</w:t>
            </w:r>
          </w:p>
        </w:tc>
        <w:tc>
          <w:tcPr>
            <w:tcW w:w="3456"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0,5% ou 200μg ATD, o que for menor</w:t>
            </w:r>
          </w:p>
        </w:tc>
      </w:tr>
      <w:tr w:rsidR="00620592" w:rsidRPr="00620592" w:rsidTr="00F10C4E">
        <w:trPr>
          <w:trHeight w:val="150"/>
          <w:jc w:val="center"/>
        </w:trPr>
        <w:tc>
          <w:tcPr>
            <w:tcW w:w="0" w:type="auto"/>
            <w:vMerge/>
            <w:tcBorders>
              <w:top w:val="outset" w:sz="6" w:space="0" w:color="auto"/>
              <w:left w:val="outset" w:sz="6" w:space="0" w:color="auto"/>
              <w:bottom w:val="single" w:sz="6" w:space="0" w:color="808080"/>
              <w:right w:val="single" w:sz="6" w:space="0" w:color="808080"/>
            </w:tcBorders>
            <w:vAlign w:val="center"/>
            <w:hideMark/>
          </w:tcPr>
          <w:p w:rsidR="00620592" w:rsidRPr="00620592" w:rsidRDefault="00620592" w:rsidP="00A3435F">
            <w:pPr>
              <w:spacing w:after="0" w:line="240" w:lineRule="auto"/>
              <w:jc w:val="both"/>
              <w:rPr>
                <w:rFonts w:ascii="Times New Roman" w:eastAsia="Times New Roman" w:hAnsi="Times New Roman" w:cs="Times New Roman"/>
                <w:sz w:val="24"/>
                <w:szCs w:val="24"/>
                <w:lang w:eastAsia="pt-BR"/>
              </w:rPr>
            </w:pPr>
          </w:p>
        </w:tc>
        <w:tc>
          <w:tcPr>
            <w:tcW w:w="2304"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&gt;</w:t>
            </w:r>
            <w:proofErr w:type="gramStart"/>
            <w:r w:rsidRPr="00620592">
              <w:rPr>
                <w:rFonts w:ascii="Times New Roman" w:eastAsia="Times New Roman" w:hAnsi="Times New Roman" w:cs="Times New Roman"/>
                <w:sz w:val="24"/>
                <w:szCs w:val="24"/>
                <w:lang w:eastAsia="pt-BR"/>
              </w:rPr>
              <w:t>100  mg</w:t>
            </w:r>
            <w:proofErr w:type="gramEnd"/>
            <w:r w:rsidRPr="00620592">
              <w:rPr>
                <w:rFonts w:ascii="Times New Roman" w:eastAsia="Times New Roman" w:hAnsi="Times New Roman" w:cs="Times New Roman"/>
                <w:sz w:val="24"/>
                <w:szCs w:val="24"/>
                <w:lang w:eastAsia="pt-BR"/>
              </w:rPr>
              <w:t>  - 2g</w:t>
            </w:r>
          </w:p>
        </w:tc>
        <w:tc>
          <w:tcPr>
            <w:tcW w:w="3456"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 xml:space="preserve">0,2% ou 3mg ATD, o que for </w:t>
            </w:r>
            <w:r w:rsidRPr="00620592">
              <w:rPr>
                <w:rFonts w:ascii="Times New Roman" w:eastAsia="Times New Roman" w:hAnsi="Times New Roman" w:cs="Times New Roman"/>
                <w:sz w:val="24"/>
                <w:szCs w:val="24"/>
                <w:lang w:eastAsia="pt-BR"/>
              </w:rPr>
              <w:lastRenderedPageBreak/>
              <w:t>menor</w:t>
            </w:r>
          </w:p>
        </w:tc>
      </w:tr>
      <w:tr w:rsidR="00620592" w:rsidRPr="00620592" w:rsidTr="00F10C4E">
        <w:trPr>
          <w:trHeight w:val="150"/>
          <w:jc w:val="center"/>
        </w:trPr>
        <w:tc>
          <w:tcPr>
            <w:tcW w:w="0" w:type="auto"/>
            <w:vMerge/>
            <w:tcBorders>
              <w:top w:val="outset" w:sz="6" w:space="0" w:color="auto"/>
              <w:left w:val="outset" w:sz="6" w:space="0" w:color="auto"/>
              <w:bottom w:val="single" w:sz="6" w:space="0" w:color="808080"/>
              <w:right w:val="single" w:sz="6" w:space="0" w:color="808080"/>
            </w:tcBorders>
            <w:vAlign w:val="center"/>
            <w:hideMark/>
          </w:tcPr>
          <w:p w:rsidR="00620592" w:rsidRPr="00620592" w:rsidRDefault="00620592" w:rsidP="00A3435F">
            <w:pPr>
              <w:spacing w:after="0" w:line="240" w:lineRule="auto"/>
              <w:jc w:val="both"/>
              <w:rPr>
                <w:rFonts w:ascii="Times New Roman" w:eastAsia="Times New Roman" w:hAnsi="Times New Roman" w:cs="Times New Roman"/>
                <w:sz w:val="24"/>
                <w:szCs w:val="24"/>
                <w:lang w:eastAsia="pt-BR"/>
              </w:rPr>
            </w:pPr>
          </w:p>
        </w:tc>
        <w:tc>
          <w:tcPr>
            <w:tcW w:w="2304"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&gt;2g</w:t>
            </w:r>
          </w:p>
        </w:tc>
        <w:tc>
          <w:tcPr>
            <w:tcW w:w="3456" w:type="dxa"/>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620592" w:rsidRPr="00620592" w:rsidRDefault="00620592" w:rsidP="00A3435F">
            <w:pPr>
              <w:spacing w:before="150" w:after="150" w:line="240" w:lineRule="auto"/>
              <w:jc w:val="both"/>
              <w:rPr>
                <w:rFonts w:ascii="Times New Roman" w:eastAsia="Times New Roman" w:hAnsi="Times New Roman" w:cs="Times New Roman"/>
                <w:sz w:val="24"/>
                <w:szCs w:val="24"/>
                <w:lang w:eastAsia="pt-BR"/>
              </w:rPr>
            </w:pPr>
            <w:r w:rsidRPr="00620592">
              <w:rPr>
                <w:rFonts w:ascii="Times New Roman" w:eastAsia="Times New Roman" w:hAnsi="Times New Roman" w:cs="Times New Roman"/>
                <w:sz w:val="24"/>
                <w:szCs w:val="24"/>
                <w:lang w:eastAsia="pt-BR"/>
              </w:rPr>
              <w:t>0,15%</w:t>
            </w:r>
          </w:p>
        </w:tc>
      </w:tr>
    </w:tbl>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Onde:</w:t>
      </w:r>
    </w:p>
    <w:p w:rsidR="00A3435F" w:rsidRPr="00CE43FF" w:rsidRDefault="00CE43FF" w:rsidP="00CE43FF">
      <w:pPr>
        <w:pStyle w:val="PargrafodaLista"/>
        <w:numPr>
          <w:ilvl w:val="0"/>
          <w:numId w:val="3"/>
        </w:numPr>
        <w:spacing w:line="240" w:lineRule="auto"/>
        <w:jc w:val="both"/>
        <w:rPr>
          <w:rFonts w:ascii="Times New Roman" w:eastAsia="Times New Roman" w:hAnsi="Times New Roman" w:cs="Times New Roman"/>
          <w:color w:val="000000"/>
          <w:sz w:val="24"/>
          <w:szCs w:val="24"/>
          <w:lang w:eastAsia="pt-BR"/>
        </w:rPr>
      </w:pPr>
      <w:r w:rsidRPr="00CE43FF">
        <w:rPr>
          <w:rFonts w:ascii="Times New Roman" w:eastAsia="Times New Roman" w:hAnsi="Times New Roman" w:cs="Times New Roman"/>
          <w:color w:val="000000"/>
          <w:sz w:val="24"/>
          <w:szCs w:val="24"/>
          <w:lang w:eastAsia="pt-BR"/>
        </w:rPr>
        <w:t xml:space="preserve">- </w:t>
      </w:r>
      <w:r w:rsidR="00620592" w:rsidRPr="00CE43FF">
        <w:rPr>
          <w:rFonts w:ascii="Times New Roman" w:eastAsia="Times New Roman" w:hAnsi="Times New Roman" w:cs="Times New Roman"/>
          <w:color w:val="000000"/>
          <w:sz w:val="24"/>
          <w:szCs w:val="24"/>
          <w:lang w:eastAsia="pt-BR"/>
        </w:rPr>
        <w:t>Quantidade máxima do insumo farmacêutico</w:t>
      </w:r>
      <w:r w:rsidR="00A3435F" w:rsidRPr="00CE43FF">
        <w:rPr>
          <w:rFonts w:ascii="Times New Roman" w:eastAsia="Times New Roman" w:hAnsi="Times New Roman" w:cs="Times New Roman"/>
          <w:color w:val="000000"/>
          <w:sz w:val="24"/>
          <w:szCs w:val="24"/>
          <w:lang w:eastAsia="pt-BR"/>
        </w:rPr>
        <w:t xml:space="preserve"> ativo administrado por dia.</w:t>
      </w:r>
    </w:p>
    <w:p w:rsidR="00A3435F" w:rsidRPr="00A3435F" w:rsidRDefault="00CE43FF" w:rsidP="00CE43FF">
      <w:pPr>
        <w:spacing w:line="240" w:lineRule="auto"/>
        <w:ind w:firstLine="567"/>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2 - </w:t>
      </w:r>
      <w:r w:rsidR="00620592" w:rsidRPr="00CE43FF">
        <w:rPr>
          <w:rFonts w:ascii="Times New Roman" w:eastAsia="Times New Roman" w:hAnsi="Times New Roman" w:cs="Times New Roman"/>
          <w:color w:val="000000"/>
          <w:sz w:val="24"/>
          <w:szCs w:val="24"/>
          <w:lang w:eastAsia="pt-BR"/>
        </w:rPr>
        <w:t>Limites dos produtos de degradação são expressos como a percentagem do insumo farmacêutico ativo ou como a administração total diária (ATD) de um produto de degradação.</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 1º Os resultados dos ensaios de quantificação </w:t>
      </w:r>
      <w:proofErr w:type="gramStart"/>
      <w:r w:rsidRPr="00620592">
        <w:rPr>
          <w:rFonts w:ascii="Times New Roman" w:eastAsia="Times New Roman" w:hAnsi="Times New Roman" w:cs="Times New Roman"/>
          <w:color w:val="000000"/>
          <w:sz w:val="24"/>
          <w:szCs w:val="24"/>
          <w:lang w:eastAsia="pt-BR"/>
        </w:rPr>
        <w:t>do(</w:t>
      </w:r>
      <w:proofErr w:type="gramEnd"/>
      <w:r w:rsidRPr="00620592">
        <w:rPr>
          <w:rFonts w:ascii="Times New Roman" w:eastAsia="Times New Roman" w:hAnsi="Times New Roman" w:cs="Times New Roman"/>
          <w:color w:val="000000"/>
          <w:sz w:val="24"/>
          <w:szCs w:val="24"/>
          <w:lang w:eastAsia="pt-BR"/>
        </w:rPr>
        <w:t>s) produto( s) de degradação devem ter avaliação crítica frente à redução do teor do insumo farmacêutico ativo observada durante o(s) estudo(s) de estabilidade iniciado(s) ou em andamento conforme resolução específica para a realização de estudos de estabilidade.</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 2º A avaliação da necessidade de notificação, identificação e qualificação </w:t>
      </w:r>
      <w:proofErr w:type="gramStart"/>
      <w:r w:rsidRPr="00620592">
        <w:rPr>
          <w:rFonts w:ascii="Times New Roman" w:eastAsia="Times New Roman" w:hAnsi="Times New Roman" w:cs="Times New Roman"/>
          <w:color w:val="000000"/>
          <w:sz w:val="24"/>
          <w:szCs w:val="24"/>
          <w:lang w:eastAsia="pt-BR"/>
        </w:rPr>
        <w:t>do(</w:t>
      </w:r>
      <w:proofErr w:type="gramEnd"/>
      <w:r w:rsidRPr="00620592">
        <w:rPr>
          <w:rFonts w:ascii="Times New Roman" w:eastAsia="Times New Roman" w:hAnsi="Times New Roman" w:cs="Times New Roman"/>
          <w:color w:val="000000"/>
          <w:sz w:val="24"/>
          <w:szCs w:val="24"/>
          <w:lang w:eastAsia="pt-BR"/>
        </w:rPr>
        <w:t>s) produto(s) de degradação deve considerar a maior concentração da impureza de degradação encontrada durante o estudo de estabilidade.</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 3º </w:t>
      </w:r>
      <w:proofErr w:type="gramStart"/>
      <w:r w:rsidRPr="00620592">
        <w:rPr>
          <w:rFonts w:ascii="Times New Roman" w:eastAsia="Times New Roman" w:hAnsi="Times New Roman" w:cs="Times New Roman"/>
          <w:color w:val="000000"/>
          <w:sz w:val="24"/>
          <w:szCs w:val="24"/>
          <w:lang w:eastAsia="pt-BR"/>
        </w:rPr>
        <w:t>O(</w:t>
      </w:r>
      <w:proofErr w:type="gramEnd"/>
      <w:r w:rsidRPr="00620592">
        <w:rPr>
          <w:rFonts w:ascii="Times New Roman" w:eastAsia="Times New Roman" w:hAnsi="Times New Roman" w:cs="Times New Roman"/>
          <w:color w:val="000000"/>
          <w:sz w:val="24"/>
          <w:szCs w:val="24"/>
          <w:lang w:eastAsia="pt-BR"/>
        </w:rPr>
        <w:t>s) produto(s) de degradação com percentual acima dos limites de notificação estabelecidos deverá(</w:t>
      </w:r>
      <w:proofErr w:type="spellStart"/>
      <w:r w:rsidRPr="00620592">
        <w:rPr>
          <w:rFonts w:ascii="Times New Roman" w:eastAsia="Times New Roman" w:hAnsi="Times New Roman" w:cs="Times New Roman"/>
          <w:color w:val="000000"/>
          <w:sz w:val="24"/>
          <w:szCs w:val="24"/>
          <w:lang w:eastAsia="pt-BR"/>
        </w:rPr>
        <w:t>ão</w:t>
      </w:r>
      <w:proofErr w:type="spellEnd"/>
      <w:r w:rsidRPr="00620592">
        <w:rPr>
          <w:rFonts w:ascii="Times New Roman" w:eastAsia="Times New Roman" w:hAnsi="Times New Roman" w:cs="Times New Roman"/>
          <w:color w:val="000000"/>
          <w:sz w:val="24"/>
          <w:szCs w:val="24"/>
          <w:lang w:eastAsia="pt-BR"/>
        </w:rPr>
        <w:t>) ser reportado(s) no estudo de estabilidade e estar incluído(s) no limite de impurezas totais.</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 4º </w:t>
      </w:r>
      <w:proofErr w:type="gramStart"/>
      <w:r w:rsidRPr="00620592">
        <w:rPr>
          <w:rFonts w:ascii="Times New Roman" w:eastAsia="Times New Roman" w:hAnsi="Times New Roman" w:cs="Times New Roman"/>
          <w:color w:val="000000"/>
          <w:sz w:val="24"/>
          <w:szCs w:val="24"/>
          <w:lang w:eastAsia="pt-BR"/>
        </w:rPr>
        <w:t>O(</w:t>
      </w:r>
      <w:proofErr w:type="gramEnd"/>
      <w:r w:rsidRPr="00620592">
        <w:rPr>
          <w:rFonts w:ascii="Times New Roman" w:eastAsia="Times New Roman" w:hAnsi="Times New Roman" w:cs="Times New Roman"/>
          <w:color w:val="000000"/>
          <w:sz w:val="24"/>
          <w:szCs w:val="24"/>
          <w:lang w:eastAsia="pt-BR"/>
        </w:rPr>
        <w:t xml:space="preserve">s) produto(s) de degradação com percentual ou valor correspondente acima dos limites de identificação estabelecidos deverá( </w:t>
      </w:r>
      <w:proofErr w:type="spellStart"/>
      <w:r w:rsidRPr="00620592">
        <w:rPr>
          <w:rFonts w:ascii="Times New Roman" w:eastAsia="Times New Roman" w:hAnsi="Times New Roman" w:cs="Times New Roman"/>
          <w:color w:val="000000"/>
          <w:sz w:val="24"/>
          <w:szCs w:val="24"/>
          <w:lang w:eastAsia="pt-BR"/>
        </w:rPr>
        <w:t>ão</w:t>
      </w:r>
      <w:proofErr w:type="spellEnd"/>
      <w:r w:rsidRPr="00620592">
        <w:rPr>
          <w:rFonts w:ascii="Times New Roman" w:eastAsia="Times New Roman" w:hAnsi="Times New Roman" w:cs="Times New Roman"/>
          <w:color w:val="000000"/>
          <w:sz w:val="24"/>
          <w:szCs w:val="24"/>
          <w:lang w:eastAsia="pt-BR"/>
        </w:rPr>
        <w:t>) ter sua estrutura química identificada e realizada a quantificação individual.</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 5º </w:t>
      </w:r>
      <w:proofErr w:type="gramStart"/>
      <w:r w:rsidRPr="00620592">
        <w:rPr>
          <w:rFonts w:ascii="Times New Roman" w:eastAsia="Times New Roman" w:hAnsi="Times New Roman" w:cs="Times New Roman"/>
          <w:color w:val="000000"/>
          <w:sz w:val="24"/>
          <w:szCs w:val="24"/>
          <w:lang w:eastAsia="pt-BR"/>
        </w:rPr>
        <w:t>O(</w:t>
      </w:r>
      <w:proofErr w:type="gramEnd"/>
      <w:r w:rsidRPr="00620592">
        <w:rPr>
          <w:rFonts w:ascii="Times New Roman" w:eastAsia="Times New Roman" w:hAnsi="Times New Roman" w:cs="Times New Roman"/>
          <w:color w:val="000000"/>
          <w:sz w:val="24"/>
          <w:szCs w:val="24"/>
          <w:lang w:eastAsia="pt-BR"/>
        </w:rPr>
        <w:t>s) produto(s) de degradação com percentual ou valor correspondente acima dos limites de identificação e abaixo dos limites de qualificação que apresentem na sua estrutura química características que conduzam à classificação de produto potencialmente tóxico deverá(</w:t>
      </w:r>
      <w:proofErr w:type="spellStart"/>
      <w:r w:rsidRPr="00620592">
        <w:rPr>
          <w:rFonts w:ascii="Times New Roman" w:eastAsia="Times New Roman" w:hAnsi="Times New Roman" w:cs="Times New Roman"/>
          <w:color w:val="000000"/>
          <w:sz w:val="24"/>
          <w:szCs w:val="24"/>
          <w:lang w:eastAsia="pt-BR"/>
        </w:rPr>
        <w:t>ão</w:t>
      </w:r>
      <w:proofErr w:type="spellEnd"/>
      <w:r w:rsidRPr="00620592">
        <w:rPr>
          <w:rFonts w:ascii="Times New Roman" w:eastAsia="Times New Roman" w:hAnsi="Times New Roman" w:cs="Times New Roman"/>
          <w:color w:val="000000"/>
          <w:sz w:val="24"/>
          <w:szCs w:val="24"/>
          <w:lang w:eastAsia="pt-BR"/>
        </w:rPr>
        <w:t>) ter seu perfil de segurança estabelecido através da avaliação da segurança biológica.</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 6º </w:t>
      </w:r>
      <w:proofErr w:type="gramStart"/>
      <w:r w:rsidRPr="00620592">
        <w:rPr>
          <w:rFonts w:ascii="Times New Roman" w:eastAsia="Times New Roman" w:hAnsi="Times New Roman" w:cs="Times New Roman"/>
          <w:color w:val="000000"/>
          <w:sz w:val="24"/>
          <w:szCs w:val="24"/>
          <w:lang w:eastAsia="pt-BR"/>
        </w:rPr>
        <w:t>O(</w:t>
      </w:r>
      <w:proofErr w:type="gramEnd"/>
      <w:r w:rsidRPr="00620592">
        <w:rPr>
          <w:rFonts w:ascii="Times New Roman" w:eastAsia="Times New Roman" w:hAnsi="Times New Roman" w:cs="Times New Roman"/>
          <w:color w:val="000000"/>
          <w:sz w:val="24"/>
          <w:szCs w:val="24"/>
          <w:lang w:eastAsia="pt-BR"/>
        </w:rPr>
        <w:t>s) produto(s) de degradação com percentual ou valor correspondente acima dos limites de qualificação estabelecidos, quando apresentarem na sua estrutura química características que conduzam à classificação de produto potencialmente tóxico, deverá(</w:t>
      </w:r>
      <w:proofErr w:type="spellStart"/>
      <w:r w:rsidRPr="00620592">
        <w:rPr>
          <w:rFonts w:ascii="Times New Roman" w:eastAsia="Times New Roman" w:hAnsi="Times New Roman" w:cs="Times New Roman"/>
          <w:color w:val="000000"/>
          <w:sz w:val="24"/>
          <w:szCs w:val="24"/>
          <w:lang w:eastAsia="pt-BR"/>
        </w:rPr>
        <w:t>ão</w:t>
      </w:r>
      <w:proofErr w:type="spellEnd"/>
      <w:r w:rsidRPr="00620592">
        <w:rPr>
          <w:rFonts w:ascii="Times New Roman" w:eastAsia="Times New Roman" w:hAnsi="Times New Roman" w:cs="Times New Roman"/>
          <w:color w:val="000000"/>
          <w:sz w:val="24"/>
          <w:szCs w:val="24"/>
          <w:lang w:eastAsia="pt-BR"/>
        </w:rPr>
        <w:t>), além de atender ao disposto no §4º, ter seu perfil de segurança estabelecido através da avaliação da segurança biológica.</w:t>
      </w:r>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 7 º O perfil de segurança expresso no §5º e §6º estará estabelecido para aqueles produtos que atenderem ao disposto no art. 10 e poderá ser determinado por meio de avaliação de </w:t>
      </w:r>
      <w:proofErr w:type="spellStart"/>
      <w:r w:rsidRPr="00620592">
        <w:rPr>
          <w:rFonts w:ascii="Times New Roman" w:eastAsia="Times New Roman" w:hAnsi="Times New Roman" w:cs="Times New Roman"/>
          <w:color w:val="000000"/>
          <w:sz w:val="24"/>
          <w:szCs w:val="24"/>
          <w:lang w:eastAsia="pt-BR"/>
        </w:rPr>
        <w:t>genotoxicidade</w:t>
      </w:r>
      <w:proofErr w:type="spellEnd"/>
      <w:r w:rsidRPr="00620592">
        <w:rPr>
          <w:rFonts w:ascii="Times New Roman" w:eastAsia="Times New Roman" w:hAnsi="Times New Roman" w:cs="Times New Roman"/>
          <w:color w:val="000000"/>
          <w:sz w:val="24"/>
          <w:szCs w:val="24"/>
          <w:lang w:eastAsia="pt-BR"/>
        </w:rPr>
        <w:t xml:space="preserve"> e estudos gerais de toxicidade utilizando metodologia validada e conforme guia específico para a condução de estudos não clínicos de segurança necessários ao desenvolvimento de medicamentos.</w:t>
      </w:r>
    </w:p>
    <w:p w:rsid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lastRenderedPageBreak/>
        <w:t>Art. 10 O produto de degradação poderá ser considerado qualificado quando atender ao menos uma das seguintes condições:</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I - </w:t>
      </w:r>
      <w:proofErr w:type="gramStart"/>
      <w:r w:rsidRPr="00620592">
        <w:rPr>
          <w:rFonts w:ascii="Times New Roman" w:eastAsia="Times New Roman" w:hAnsi="Times New Roman" w:cs="Times New Roman"/>
          <w:color w:val="000000"/>
          <w:sz w:val="24"/>
          <w:szCs w:val="24"/>
          <w:lang w:eastAsia="pt-BR"/>
        </w:rPr>
        <w:t>o</w:t>
      </w:r>
      <w:proofErr w:type="gramEnd"/>
      <w:r w:rsidRPr="00620592">
        <w:rPr>
          <w:rFonts w:ascii="Times New Roman" w:eastAsia="Times New Roman" w:hAnsi="Times New Roman" w:cs="Times New Roman"/>
          <w:color w:val="000000"/>
          <w:sz w:val="24"/>
          <w:szCs w:val="24"/>
          <w:lang w:eastAsia="pt-BR"/>
        </w:rPr>
        <w:t xml:space="preserve"> produto de degradação for um metabólito significativo encontrado durante estudos em humanos ou animais;</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II - </w:t>
      </w:r>
      <w:proofErr w:type="gramStart"/>
      <w:r w:rsidRPr="00620592">
        <w:rPr>
          <w:rFonts w:ascii="Times New Roman" w:eastAsia="Times New Roman" w:hAnsi="Times New Roman" w:cs="Times New Roman"/>
          <w:color w:val="000000"/>
          <w:sz w:val="24"/>
          <w:szCs w:val="24"/>
          <w:lang w:eastAsia="pt-BR"/>
        </w:rPr>
        <w:t>a</w:t>
      </w:r>
      <w:proofErr w:type="gramEnd"/>
      <w:r w:rsidRPr="00620592">
        <w:rPr>
          <w:rFonts w:ascii="Times New Roman" w:eastAsia="Times New Roman" w:hAnsi="Times New Roman" w:cs="Times New Roman"/>
          <w:color w:val="000000"/>
          <w:sz w:val="24"/>
          <w:szCs w:val="24"/>
          <w:lang w:eastAsia="pt-BR"/>
        </w:rPr>
        <w:t xml:space="preserve"> quantidade observada e o limite de aceitação proposto de um produto de degradação estiverem adequadamente justificados em literatura científica ou compêndios oficiais; ou</w:t>
      </w:r>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III - a quantidade observada e o limite de aceitação proposto para um produto de degradação não exceder o limite adequado observado em estudos de toxicidade.</w:t>
      </w:r>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Parágrafo único. A empresa não será dispensada de identificar</w:t>
      </w:r>
      <w:r w:rsidR="00F10C4E">
        <w:rPr>
          <w:rFonts w:ascii="Times New Roman" w:eastAsia="Times New Roman" w:hAnsi="Times New Roman" w:cs="Times New Roman"/>
          <w:color w:val="000000"/>
          <w:sz w:val="24"/>
          <w:szCs w:val="24"/>
          <w:lang w:eastAsia="pt-BR"/>
        </w:rPr>
        <w:t xml:space="preserve"> o(s) produto(s) de degradação.</w:t>
      </w:r>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Art. 11. Os limites de aceitação para cada produto de degradação individual e o limite total de produtos de degradação deverão ser incluídos nas especificações de liberação do medicamento e do estudo de estabilidade.</w:t>
      </w:r>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Parágrafo único. O produto de degradação que superar o limite de notificação deverá ser incluído nas especificações de liberação do medicamento e do estudo de estabilidade.</w:t>
      </w:r>
    </w:p>
    <w:p w:rsidR="00A3435F"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 xml:space="preserve">Art. 12. A ANVISA poderá solicitar o </w:t>
      </w:r>
      <w:proofErr w:type="spellStart"/>
      <w:r w:rsidRPr="00620592">
        <w:rPr>
          <w:rFonts w:ascii="Times New Roman" w:eastAsia="Times New Roman" w:hAnsi="Times New Roman" w:cs="Times New Roman"/>
          <w:color w:val="000000"/>
          <w:sz w:val="24"/>
          <w:szCs w:val="24"/>
          <w:lang w:eastAsia="pt-BR"/>
        </w:rPr>
        <w:t>ínicio</w:t>
      </w:r>
      <w:proofErr w:type="spellEnd"/>
      <w:r w:rsidRPr="00620592">
        <w:rPr>
          <w:rFonts w:ascii="Times New Roman" w:eastAsia="Times New Roman" w:hAnsi="Times New Roman" w:cs="Times New Roman"/>
          <w:color w:val="000000"/>
          <w:sz w:val="24"/>
          <w:szCs w:val="24"/>
          <w:lang w:eastAsia="pt-BR"/>
        </w:rPr>
        <w:t xml:space="preserve"> da monitoração de determinado(s) produto(s) de degradação em um período anterior ao descrito nesta Resolução, caso existam evidências de toxicidade ou perda de eficácia do medicamento.</w:t>
      </w:r>
    </w:p>
    <w:p w:rsidR="00620592" w:rsidRDefault="00620592" w:rsidP="00CE43FF">
      <w:pPr>
        <w:spacing w:line="240" w:lineRule="auto"/>
        <w:ind w:firstLine="567"/>
        <w:jc w:val="both"/>
        <w:rPr>
          <w:rFonts w:ascii="Times New Roman" w:eastAsia="Times New Roman" w:hAnsi="Times New Roman" w:cs="Times New Roman"/>
          <w:strike/>
          <w:color w:val="000000"/>
          <w:sz w:val="24"/>
          <w:szCs w:val="24"/>
          <w:lang w:eastAsia="pt-BR"/>
        </w:rPr>
      </w:pPr>
      <w:r w:rsidRPr="002A4381">
        <w:rPr>
          <w:rFonts w:ascii="Times New Roman" w:eastAsia="Times New Roman" w:hAnsi="Times New Roman" w:cs="Times New Roman"/>
          <w:strike/>
          <w:color w:val="000000"/>
          <w:sz w:val="24"/>
          <w:szCs w:val="24"/>
          <w:lang w:eastAsia="pt-BR"/>
        </w:rPr>
        <w:t>Art. 13. O disposto nesta Resolução se aplica aos registros de medicamentos ou inclusão de nova concentração ou nova forma farmacêutica bem como às alterações pós-registro em que haja alteração de fórmula, processo de produção, metodologia analítica para análise de teor ou produto de degradação, rota de síntese ou local de fabricação do fármaco, cuidados de conservação ou composição da embalagem primária.</w:t>
      </w:r>
    </w:p>
    <w:p w:rsidR="002A4381" w:rsidRDefault="002A4381" w:rsidP="002A4381">
      <w:pPr>
        <w:spacing w:line="240" w:lineRule="auto"/>
        <w:ind w:firstLine="567"/>
        <w:jc w:val="both"/>
        <w:rPr>
          <w:rFonts w:ascii="Times New Roman" w:hAnsi="Times New Roman"/>
          <w:sz w:val="24"/>
          <w:szCs w:val="24"/>
        </w:rPr>
      </w:pPr>
      <w:r w:rsidRPr="007B415B">
        <w:rPr>
          <w:rFonts w:ascii="Times New Roman" w:hAnsi="Times New Roman"/>
          <w:sz w:val="24"/>
          <w:szCs w:val="24"/>
        </w:rPr>
        <w:t>Art. 13. O disposto nesta Resolução se aplica às seguintes situações:</w:t>
      </w:r>
      <w:r>
        <w:rPr>
          <w:rFonts w:ascii="Times New Roman" w:hAnsi="Times New Roman"/>
          <w:sz w:val="24"/>
          <w:szCs w:val="24"/>
        </w:rPr>
        <w:t xml:space="preserve"> </w:t>
      </w:r>
      <w:r w:rsidRPr="002A4381">
        <w:rPr>
          <w:rFonts w:ascii="Times New Roman" w:hAnsi="Times New Roman"/>
          <w:b/>
          <w:color w:val="0000FF"/>
          <w:sz w:val="24"/>
          <w:szCs w:val="24"/>
        </w:rPr>
        <w:t>(Redação dada pela Resolução – RDC nº 171, de 24 de agosto de 2017)</w:t>
      </w:r>
    </w:p>
    <w:p w:rsidR="002A4381" w:rsidRPr="007B415B" w:rsidRDefault="002A4381" w:rsidP="002A4381">
      <w:pPr>
        <w:spacing w:line="240" w:lineRule="auto"/>
        <w:ind w:firstLine="567"/>
        <w:jc w:val="both"/>
        <w:rPr>
          <w:rFonts w:ascii="Times New Roman" w:hAnsi="Times New Roman"/>
          <w:sz w:val="24"/>
          <w:szCs w:val="24"/>
        </w:rPr>
      </w:pPr>
      <w:r>
        <w:rPr>
          <w:rFonts w:ascii="Times New Roman" w:hAnsi="Times New Roman"/>
          <w:sz w:val="24"/>
          <w:szCs w:val="24"/>
        </w:rPr>
        <w:t xml:space="preserve">I. </w:t>
      </w:r>
      <w:r w:rsidRPr="007B415B">
        <w:rPr>
          <w:rFonts w:ascii="Times New Roman" w:hAnsi="Times New Roman"/>
          <w:sz w:val="24"/>
          <w:szCs w:val="24"/>
        </w:rPr>
        <w:t>registro de medicamentos novos, genéricos e similares;</w:t>
      </w:r>
      <w:r w:rsidRPr="002A4381">
        <w:rPr>
          <w:rFonts w:ascii="Times New Roman" w:hAnsi="Times New Roman"/>
          <w:b/>
          <w:color w:val="0000FF"/>
          <w:sz w:val="24"/>
          <w:szCs w:val="24"/>
        </w:rPr>
        <w:t xml:space="preserve"> </w:t>
      </w:r>
      <w:r w:rsidRPr="002A4381">
        <w:rPr>
          <w:rFonts w:ascii="Times New Roman" w:hAnsi="Times New Roman"/>
          <w:b/>
          <w:color w:val="0000FF"/>
          <w:sz w:val="24"/>
          <w:szCs w:val="24"/>
        </w:rPr>
        <w:t>(Redação dada pela Resolução – RDC nº 171, de 24 de agosto de 2017)</w:t>
      </w:r>
    </w:p>
    <w:p w:rsidR="002A4381" w:rsidRPr="007B415B" w:rsidRDefault="002A4381" w:rsidP="002A4381">
      <w:pPr>
        <w:tabs>
          <w:tab w:val="left" w:pos="0"/>
        </w:tabs>
        <w:autoSpaceDE w:val="0"/>
        <w:autoSpaceDN w:val="0"/>
        <w:adjustRightInd w:val="0"/>
        <w:spacing w:line="240" w:lineRule="auto"/>
        <w:ind w:firstLine="567"/>
        <w:jc w:val="both"/>
        <w:rPr>
          <w:rFonts w:ascii="Times New Roman" w:hAnsi="Times New Roman"/>
          <w:sz w:val="24"/>
          <w:szCs w:val="24"/>
        </w:rPr>
      </w:pPr>
      <w:r>
        <w:rPr>
          <w:rFonts w:ascii="Times New Roman" w:hAnsi="Times New Roman"/>
          <w:sz w:val="24"/>
          <w:szCs w:val="24"/>
        </w:rPr>
        <w:t xml:space="preserve">II. </w:t>
      </w:r>
      <w:r w:rsidRPr="007B415B">
        <w:rPr>
          <w:rFonts w:ascii="Times New Roman" w:hAnsi="Times New Roman"/>
          <w:sz w:val="24"/>
          <w:szCs w:val="24"/>
        </w:rPr>
        <w:t>inclusão de nova forma farmacêutica;</w:t>
      </w:r>
      <w:r w:rsidRPr="002A4381">
        <w:rPr>
          <w:rFonts w:ascii="Times New Roman" w:hAnsi="Times New Roman"/>
          <w:b/>
          <w:color w:val="0000FF"/>
          <w:sz w:val="24"/>
          <w:szCs w:val="24"/>
        </w:rPr>
        <w:t xml:space="preserve"> </w:t>
      </w:r>
      <w:r w:rsidRPr="002A4381">
        <w:rPr>
          <w:rFonts w:ascii="Times New Roman" w:hAnsi="Times New Roman"/>
          <w:b/>
          <w:color w:val="0000FF"/>
          <w:sz w:val="24"/>
          <w:szCs w:val="24"/>
        </w:rPr>
        <w:t>(Redação dada pela Resolução – RDC nº 171, de 24 de agosto de 2017)</w:t>
      </w:r>
    </w:p>
    <w:p w:rsidR="002A4381" w:rsidRPr="007B415B" w:rsidRDefault="002A4381" w:rsidP="002A4381">
      <w:pPr>
        <w:tabs>
          <w:tab w:val="left" w:pos="0"/>
        </w:tabs>
        <w:autoSpaceDE w:val="0"/>
        <w:autoSpaceDN w:val="0"/>
        <w:adjustRightInd w:val="0"/>
        <w:spacing w:line="240" w:lineRule="auto"/>
        <w:ind w:firstLine="567"/>
        <w:jc w:val="both"/>
        <w:rPr>
          <w:rFonts w:ascii="Times New Roman" w:hAnsi="Times New Roman"/>
          <w:sz w:val="24"/>
          <w:szCs w:val="24"/>
        </w:rPr>
      </w:pPr>
      <w:r>
        <w:rPr>
          <w:rFonts w:ascii="Times New Roman" w:hAnsi="Times New Roman"/>
          <w:sz w:val="24"/>
          <w:szCs w:val="24"/>
        </w:rPr>
        <w:t xml:space="preserve">III. </w:t>
      </w:r>
      <w:r w:rsidRPr="007B415B">
        <w:rPr>
          <w:rFonts w:ascii="Times New Roman" w:hAnsi="Times New Roman"/>
          <w:sz w:val="24"/>
          <w:szCs w:val="24"/>
        </w:rPr>
        <w:t>inclusão de nova concentração;</w:t>
      </w:r>
      <w:r w:rsidRPr="002A4381">
        <w:rPr>
          <w:rFonts w:ascii="Times New Roman" w:hAnsi="Times New Roman"/>
          <w:b/>
          <w:color w:val="0000FF"/>
          <w:sz w:val="24"/>
          <w:szCs w:val="24"/>
        </w:rPr>
        <w:t xml:space="preserve"> </w:t>
      </w:r>
      <w:r w:rsidRPr="002A4381">
        <w:rPr>
          <w:rFonts w:ascii="Times New Roman" w:hAnsi="Times New Roman"/>
          <w:b/>
          <w:color w:val="0000FF"/>
          <w:sz w:val="24"/>
          <w:szCs w:val="24"/>
        </w:rPr>
        <w:t>(Redação dada pela Resolução – RDC nº 171, de 24 de agosto de 2017)</w:t>
      </w:r>
    </w:p>
    <w:p w:rsidR="002A4381" w:rsidRPr="007B415B" w:rsidRDefault="002A4381" w:rsidP="002A4381">
      <w:pPr>
        <w:autoSpaceDE w:val="0"/>
        <w:autoSpaceDN w:val="0"/>
        <w:adjustRightInd w:val="0"/>
        <w:spacing w:line="240" w:lineRule="auto"/>
        <w:ind w:firstLine="567"/>
        <w:jc w:val="both"/>
        <w:rPr>
          <w:rFonts w:ascii="Times New Roman" w:hAnsi="Times New Roman"/>
          <w:sz w:val="24"/>
          <w:szCs w:val="24"/>
        </w:rPr>
      </w:pPr>
      <w:r>
        <w:rPr>
          <w:rFonts w:ascii="Times New Roman" w:hAnsi="Times New Roman"/>
          <w:sz w:val="24"/>
          <w:szCs w:val="24"/>
        </w:rPr>
        <w:t xml:space="preserve">IV. </w:t>
      </w:r>
      <w:r w:rsidRPr="007B415B">
        <w:rPr>
          <w:rFonts w:ascii="Times New Roman" w:hAnsi="Times New Roman"/>
          <w:sz w:val="24"/>
          <w:szCs w:val="24"/>
        </w:rPr>
        <w:t>mudanças relacionadas ao insumo farmacêutico ativo que não sejam de implementação imediata conforme norma de alterações pós-registro vigente;</w:t>
      </w:r>
      <w:r w:rsidRPr="002A4381">
        <w:rPr>
          <w:rFonts w:ascii="Times New Roman" w:hAnsi="Times New Roman"/>
          <w:b/>
          <w:color w:val="0000FF"/>
          <w:sz w:val="24"/>
          <w:szCs w:val="24"/>
        </w:rPr>
        <w:t xml:space="preserve"> </w:t>
      </w:r>
      <w:r w:rsidRPr="002A4381">
        <w:rPr>
          <w:rFonts w:ascii="Times New Roman" w:hAnsi="Times New Roman"/>
          <w:b/>
          <w:color w:val="0000FF"/>
          <w:sz w:val="24"/>
          <w:szCs w:val="24"/>
        </w:rPr>
        <w:t>(Redação dada pela Resolução – RDC nº 171, de 24 de agosto de 2017)</w:t>
      </w:r>
    </w:p>
    <w:p w:rsidR="002A4381" w:rsidRPr="007B415B" w:rsidRDefault="002A4381" w:rsidP="002A4381">
      <w:pPr>
        <w:tabs>
          <w:tab w:val="left" w:pos="0"/>
        </w:tabs>
        <w:autoSpaceDE w:val="0"/>
        <w:autoSpaceDN w:val="0"/>
        <w:adjustRightInd w:val="0"/>
        <w:spacing w:line="240" w:lineRule="auto"/>
        <w:ind w:firstLine="567"/>
        <w:jc w:val="both"/>
        <w:rPr>
          <w:rFonts w:ascii="Times New Roman" w:hAnsi="Times New Roman"/>
          <w:sz w:val="24"/>
          <w:szCs w:val="24"/>
        </w:rPr>
      </w:pPr>
      <w:r>
        <w:rPr>
          <w:rFonts w:ascii="Times New Roman" w:hAnsi="Times New Roman"/>
          <w:sz w:val="24"/>
          <w:szCs w:val="24"/>
        </w:rPr>
        <w:t xml:space="preserve">V. </w:t>
      </w:r>
      <w:r w:rsidRPr="007B415B">
        <w:rPr>
          <w:rFonts w:ascii="Times New Roman" w:hAnsi="Times New Roman"/>
          <w:sz w:val="24"/>
          <w:szCs w:val="24"/>
        </w:rPr>
        <w:t>mudanças na composição do medicamento que não sejam de implementação imediata conforme norma de alterações pós-registro vigente, exceto mudança maior de sulco;</w:t>
      </w:r>
      <w:r w:rsidRPr="002A4381">
        <w:rPr>
          <w:rFonts w:ascii="Times New Roman" w:hAnsi="Times New Roman"/>
          <w:b/>
          <w:color w:val="0000FF"/>
          <w:sz w:val="24"/>
          <w:szCs w:val="24"/>
        </w:rPr>
        <w:t xml:space="preserve"> </w:t>
      </w:r>
      <w:r w:rsidRPr="002A4381">
        <w:rPr>
          <w:rFonts w:ascii="Times New Roman" w:hAnsi="Times New Roman"/>
          <w:b/>
          <w:color w:val="0000FF"/>
          <w:sz w:val="24"/>
          <w:szCs w:val="24"/>
        </w:rPr>
        <w:t>(Redação dada pela Resolução – RDC nº 171, de 24 de agosto de 2017)</w:t>
      </w:r>
    </w:p>
    <w:p w:rsidR="002A4381" w:rsidRPr="007B415B" w:rsidRDefault="002A4381" w:rsidP="002A4381">
      <w:pPr>
        <w:tabs>
          <w:tab w:val="left" w:pos="0"/>
        </w:tabs>
        <w:autoSpaceDE w:val="0"/>
        <w:autoSpaceDN w:val="0"/>
        <w:adjustRightInd w:val="0"/>
        <w:spacing w:line="240" w:lineRule="auto"/>
        <w:ind w:firstLine="567"/>
        <w:jc w:val="both"/>
        <w:rPr>
          <w:rFonts w:ascii="Times New Roman" w:hAnsi="Times New Roman"/>
          <w:sz w:val="24"/>
          <w:szCs w:val="24"/>
        </w:rPr>
      </w:pPr>
      <w:r>
        <w:rPr>
          <w:rFonts w:ascii="Times New Roman" w:hAnsi="Times New Roman"/>
          <w:sz w:val="24"/>
          <w:szCs w:val="24"/>
        </w:rPr>
        <w:t xml:space="preserve">VI. </w:t>
      </w:r>
      <w:r w:rsidRPr="007B415B">
        <w:rPr>
          <w:rFonts w:ascii="Times New Roman" w:hAnsi="Times New Roman"/>
          <w:sz w:val="24"/>
          <w:szCs w:val="24"/>
        </w:rPr>
        <w:t>mudanças no processo de produção que não sejam de implementação imediata, conforme norma de alterações pós-registro vigente;</w:t>
      </w:r>
      <w:r w:rsidRPr="002A4381">
        <w:rPr>
          <w:rFonts w:ascii="Times New Roman" w:hAnsi="Times New Roman"/>
          <w:b/>
          <w:color w:val="0000FF"/>
          <w:sz w:val="24"/>
          <w:szCs w:val="24"/>
        </w:rPr>
        <w:t xml:space="preserve"> </w:t>
      </w:r>
      <w:r w:rsidRPr="002A4381">
        <w:rPr>
          <w:rFonts w:ascii="Times New Roman" w:hAnsi="Times New Roman"/>
          <w:b/>
          <w:color w:val="0000FF"/>
          <w:sz w:val="24"/>
          <w:szCs w:val="24"/>
        </w:rPr>
        <w:t>(Redação dada pela Resolução – RDC nº 171, de 24 de agosto de 2017)</w:t>
      </w:r>
    </w:p>
    <w:p w:rsidR="002A4381" w:rsidRPr="007B415B" w:rsidRDefault="002A4381" w:rsidP="002A4381">
      <w:pPr>
        <w:tabs>
          <w:tab w:val="left" w:pos="0"/>
        </w:tabs>
        <w:autoSpaceDE w:val="0"/>
        <w:autoSpaceDN w:val="0"/>
        <w:adjustRightInd w:val="0"/>
        <w:spacing w:line="240" w:lineRule="auto"/>
        <w:ind w:firstLine="567"/>
        <w:jc w:val="both"/>
        <w:rPr>
          <w:rFonts w:ascii="Times New Roman" w:hAnsi="Times New Roman"/>
          <w:sz w:val="24"/>
          <w:szCs w:val="24"/>
        </w:rPr>
      </w:pPr>
      <w:r>
        <w:rPr>
          <w:rFonts w:ascii="Times New Roman" w:hAnsi="Times New Roman"/>
          <w:sz w:val="24"/>
          <w:szCs w:val="24"/>
        </w:rPr>
        <w:t xml:space="preserve">VII. </w:t>
      </w:r>
      <w:r w:rsidRPr="007B415B">
        <w:rPr>
          <w:rFonts w:ascii="Times New Roman" w:hAnsi="Times New Roman"/>
          <w:sz w:val="24"/>
          <w:szCs w:val="24"/>
        </w:rPr>
        <w:t>mudanças relacionadas à embalagem do medicamento, ao prazo de validade ou aos cuidados de conservação do medicamento para as quais são solicitados relatório de estudo de estabilidade de longa duração referente a 3 (três) lotes do medicamento;</w:t>
      </w:r>
      <w:r w:rsidRPr="002A4381">
        <w:rPr>
          <w:rFonts w:ascii="Times New Roman" w:hAnsi="Times New Roman"/>
          <w:b/>
          <w:color w:val="0000FF"/>
          <w:sz w:val="24"/>
          <w:szCs w:val="24"/>
        </w:rPr>
        <w:t xml:space="preserve"> </w:t>
      </w:r>
      <w:r w:rsidRPr="002A4381">
        <w:rPr>
          <w:rFonts w:ascii="Times New Roman" w:hAnsi="Times New Roman"/>
          <w:b/>
          <w:color w:val="0000FF"/>
          <w:sz w:val="24"/>
          <w:szCs w:val="24"/>
        </w:rPr>
        <w:t>(Redação dada pela Resolução – RDC nº 171, de 24 de agosto de 2017)</w:t>
      </w:r>
    </w:p>
    <w:p w:rsidR="002A4381" w:rsidRPr="007B415B" w:rsidRDefault="002A4381" w:rsidP="002A4381">
      <w:pPr>
        <w:tabs>
          <w:tab w:val="left" w:pos="0"/>
        </w:tabs>
        <w:autoSpaceDE w:val="0"/>
        <w:autoSpaceDN w:val="0"/>
        <w:adjustRightInd w:val="0"/>
        <w:spacing w:line="240" w:lineRule="auto"/>
        <w:ind w:firstLine="567"/>
        <w:jc w:val="both"/>
        <w:rPr>
          <w:rFonts w:ascii="Times New Roman" w:hAnsi="Times New Roman"/>
          <w:sz w:val="24"/>
          <w:szCs w:val="24"/>
        </w:rPr>
      </w:pPr>
      <w:r>
        <w:rPr>
          <w:rFonts w:ascii="Times New Roman" w:hAnsi="Times New Roman"/>
          <w:sz w:val="24"/>
          <w:szCs w:val="24"/>
        </w:rPr>
        <w:t xml:space="preserve">VIII. </w:t>
      </w:r>
      <w:r w:rsidRPr="007B415B">
        <w:rPr>
          <w:rFonts w:ascii="Times New Roman" w:hAnsi="Times New Roman"/>
          <w:sz w:val="24"/>
          <w:szCs w:val="24"/>
        </w:rPr>
        <w:t>mudanças relacionadas ao método analítico de controle de qualidade ou estabilidade para testes de teor ou produtos de degradação do medicamento, que não sejam de implementação imediata, conforme norma de alterações pós-registro vigente.</w:t>
      </w:r>
      <w:r w:rsidRPr="002A4381">
        <w:rPr>
          <w:rFonts w:ascii="Times New Roman" w:hAnsi="Times New Roman"/>
          <w:b/>
          <w:color w:val="0000FF"/>
          <w:sz w:val="24"/>
          <w:szCs w:val="24"/>
        </w:rPr>
        <w:t xml:space="preserve"> </w:t>
      </w:r>
      <w:r w:rsidRPr="002A4381">
        <w:rPr>
          <w:rFonts w:ascii="Times New Roman" w:hAnsi="Times New Roman"/>
          <w:b/>
          <w:color w:val="0000FF"/>
          <w:sz w:val="24"/>
          <w:szCs w:val="24"/>
        </w:rPr>
        <w:t>(Redação dada pela Resolução – RDC nº 171, de 24 de agosto de 2017)</w:t>
      </w:r>
    </w:p>
    <w:p w:rsidR="002A4381" w:rsidRPr="002A4381" w:rsidRDefault="002A4381" w:rsidP="002A4381">
      <w:pPr>
        <w:spacing w:line="240" w:lineRule="auto"/>
        <w:ind w:firstLine="567"/>
        <w:jc w:val="both"/>
        <w:rPr>
          <w:rFonts w:ascii="Times New Roman" w:eastAsia="Times New Roman" w:hAnsi="Times New Roman" w:cs="Times New Roman"/>
          <w:color w:val="000000"/>
          <w:sz w:val="24"/>
          <w:szCs w:val="24"/>
          <w:lang w:eastAsia="pt-BR"/>
        </w:rPr>
      </w:pPr>
      <w:r w:rsidRPr="007B415B">
        <w:rPr>
          <w:rFonts w:ascii="Times New Roman" w:hAnsi="Times New Roman"/>
          <w:sz w:val="24"/>
          <w:szCs w:val="24"/>
        </w:rPr>
        <w:t xml:space="preserve">Parágrafo único. Para o inciso VIII aplica-se apenas o disposto nos </w:t>
      </w:r>
      <w:proofErr w:type="spellStart"/>
      <w:r w:rsidRPr="007B415B">
        <w:rPr>
          <w:rFonts w:ascii="Times New Roman" w:hAnsi="Times New Roman"/>
          <w:sz w:val="24"/>
          <w:szCs w:val="24"/>
        </w:rPr>
        <w:t>arts</w:t>
      </w:r>
      <w:proofErr w:type="spellEnd"/>
      <w:r w:rsidRPr="007B415B">
        <w:rPr>
          <w:rFonts w:ascii="Times New Roman" w:hAnsi="Times New Roman"/>
          <w:sz w:val="24"/>
          <w:szCs w:val="24"/>
        </w:rPr>
        <w:t>. 3°, 4°, 5°, 6°, 7° e 8° desta Resolução</w:t>
      </w:r>
      <w:r>
        <w:rPr>
          <w:rFonts w:ascii="Times New Roman" w:hAnsi="Times New Roman"/>
          <w:sz w:val="24"/>
          <w:szCs w:val="24"/>
        </w:rPr>
        <w:t>.</w:t>
      </w:r>
      <w:r w:rsidRPr="002A4381">
        <w:rPr>
          <w:rFonts w:ascii="Times New Roman" w:hAnsi="Times New Roman"/>
          <w:b/>
          <w:color w:val="0000FF"/>
          <w:sz w:val="24"/>
          <w:szCs w:val="24"/>
        </w:rPr>
        <w:t xml:space="preserve"> </w:t>
      </w:r>
      <w:r w:rsidRPr="002A4381">
        <w:rPr>
          <w:rFonts w:ascii="Times New Roman" w:hAnsi="Times New Roman"/>
          <w:b/>
          <w:color w:val="0000FF"/>
          <w:sz w:val="24"/>
          <w:szCs w:val="24"/>
        </w:rPr>
        <w:t>(Redação dada pela Resolução – RDC nº 171, de 24 de agosto de 2017)</w:t>
      </w:r>
    </w:p>
    <w:p w:rsidR="00620592" w:rsidRPr="002A4381" w:rsidRDefault="00620592" w:rsidP="00CE43FF">
      <w:pPr>
        <w:spacing w:line="240" w:lineRule="auto"/>
        <w:ind w:firstLine="567"/>
        <w:jc w:val="both"/>
        <w:rPr>
          <w:rFonts w:ascii="Times New Roman" w:eastAsia="Times New Roman" w:hAnsi="Times New Roman" w:cs="Times New Roman"/>
          <w:strike/>
          <w:color w:val="000000"/>
          <w:sz w:val="24"/>
          <w:szCs w:val="24"/>
          <w:lang w:eastAsia="pt-BR"/>
        </w:rPr>
      </w:pPr>
      <w:r w:rsidRPr="002A4381">
        <w:rPr>
          <w:rFonts w:ascii="Times New Roman" w:eastAsia="Times New Roman" w:hAnsi="Times New Roman" w:cs="Times New Roman"/>
          <w:strike/>
          <w:color w:val="000000"/>
          <w:sz w:val="24"/>
          <w:szCs w:val="24"/>
          <w:lang w:eastAsia="pt-BR"/>
        </w:rPr>
        <w:t>Art. 14. Esta Resolução entra em vigor em 23 de dezembro de 2015 para todos os registros, inclusões de nova concentração ou inclusões de nova forma farmacêutica.</w:t>
      </w:r>
    </w:p>
    <w:p w:rsidR="00A3435F" w:rsidRPr="002A4381" w:rsidRDefault="00620592" w:rsidP="00CE43FF">
      <w:pPr>
        <w:spacing w:line="240" w:lineRule="auto"/>
        <w:ind w:firstLine="567"/>
        <w:jc w:val="both"/>
        <w:rPr>
          <w:rFonts w:ascii="Times New Roman" w:eastAsia="Times New Roman" w:hAnsi="Times New Roman" w:cs="Times New Roman"/>
          <w:strike/>
          <w:color w:val="000000"/>
          <w:sz w:val="24"/>
          <w:szCs w:val="24"/>
          <w:lang w:eastAsia="pt-BR"/>
        </w:rPr>
      </w:pPr>
      <w:r w:rsidRPr="002A4381">
        <w:rPr>
          <w:rFonts w:ascii="Times New Roman" w:eastAsia="Times New Roman" w:hAnsi="Times New Roman" w:cs="Times New Roman"/>
          <w:strike/>
          <w:color w:val="000000"/>
          <w:sz w:val="24"/>
          <w:szCs w:val="24"/>
          <w:lang w:eastAsia="pt-BR"/>
        </w:rPr>
        <w:t>§ 1° Para medicamentos já registrados com as classificações listadas no Anexo I, esta Resolução entra em vigor em de 31 de dezembro de 2017.</w:t>
      </w:r>
    </w:p>
    <w:p w:rsidR="00A3435F" w:rsidRPr="002A4381" w:rsidRDefault="00620592" w:rsidP="00CE43FF">
      <w:pPr>
        <w:spacing w:line="240" w:lineRule="auto"/>
        <w:ind w:firstLine="567"/>
        <w:jc w:val="both"/>
        <w:rPr>
          <w:rFonts w:ascii="Times New Roman" w:eastAsia="Times New Roman" w:hAnsi="Times New Roman" w:cs="Times New Roman"/>
          <w:strike/>
          <w:color w:val="000000"/>
          <w:sz w:val="24"/>
          <w:szCs w:val="24"/>
          <w:lang w:eastAsia="pt-BR"/>
        </w:rPr>
      </w:pPr>
      <w:r w:rsidRPr="002A4381">
        <w:rPr>
          <w:rFonts w:ascii="Times New Roman" w:eastAsia="Times New Roman" w:hAnsi="Times New Roman" w:cs="Times New Roman"/>
          <w:strike/>
          <w:color w:val="000000"/>
          <w:sz w:val="24"/>
          <w:szCs w:val="24"/>
          <w:lang w:eastAsia="pt-BR"/>
        </w:rPr>
        <w:t>§ 2° Para medicamentos já registrados com as classificações listadas no Anexo II, esta Resolução entra em vigor em 31 de dezembro de 2019.</w:t>
      </w:r>
    </w:p>
    <w:p w:rsidR="00A3435F" w:rsidRPr="002A4381" w:rsidRDefault="00620592" w:rsidP="00CE43FF">
      <w:pPr>
        <w:spacing w:line="240" w:lineRule="auto"/>
        <w:ind w:firstLine="567"/>
        <w:jc w:val="both"/>
        <w:rPr>
          <w:rFonts w:ascii="Times New Roman" w:eastAsia="Times New Roman" w:hAnsi="Times New Roman" w:cs="Times New Roman"/>
          <w:strike/>
          <w:color w:val="000000"/>
          <w:sz w:val="24"/>
          <w:szCs w:val="24"/>
          <w:lang w:eastAsia="pt-BR"/>
        </w:rPr>
      </w:pPr>
      <w:r w:rsidRPr="002A4381">
        <w:rPr>
          <w:rFonts w:ascii="Times New Roman" w:eastAsia="Times New Roman" w:hAnsi="Times New Roman" w:cs="Times New Roman"/>
          <w:strike/>
          <w:color w:val="000000"/>
          <w:sz w:val="24"/>
          <w:szCs w:val="24"/>
          <w:lang w:eastAsia="pt-BR"/>
        </w:rPr>
        <w:t>§ 3° Para os demais medicamentos já registrados, esta Resolução entra em vigor em 31 de dezembro de 2020.</w:t>
      </w:r>
    </w:p>
    <w:p w:rsidR="00A3435F" w:rsidRPr="002A4381" w:rsidRDefault="00620592" w:rsidP="00CE43FF">
      <w:pPr>
        <w:spacing w:line="240" w:lineRule="auto"/>
        <w:ind w:firstLine="567"/>
        <w:jc w:val="both"/>
        <w:rPr>
          <w:rFonts w:ascii="Times New Roman" w:eastAsia="Times New Roman" w:hAnsi="Times New Roman" w:cs="Times New Roman"/>
          <w:strike/>
          <w:color w:val="000000"/>
          <w:sz w:val="24"/>
          <w:szCs w:val="24"/>
          <w:lang w:eastAsia="pt-BR"/>
        </w:rPr>
      </w:pPr>
      <w:r w:rsidRPr="002A4381">
        <w:rPr>
          <w:rFonts w:ascii="Times New Roman" w:eastAsia="Times New Roman" w:hAnsi="Times New Roman" w:cs="Times New Roman"/>
          <w:strike/>
          <w:color w:val="000000"/>
          <w:sz w:val="24"/>
          <w:szCs w:val="24"/>
          <w:lang w:eastAsia="pt-BR"/>
        </w:rPr>
        <w:t>§ 4° As petições referidas no caput devem conter em sua documentação provas do efetivo cumprimento desta Resolução.</w:t>
      </w:r>
    </w:p>
    <w:p w:rsidR="00620592" w:rsidRDefault="00620592" w:rsidP="00CE43FF">
      <w:pPr>
        <w:spacing w:line="240" w:lineRule="auto"/>
        <w:ind w:firstLine="567"/>
        <w:jc w:val="both"/>
        <w:rPr>
          <w:rFonts w:ascii="Times New Roman" w:eastAsia="Times New Roman" w:hAnsi="Times New Roman" w:cs="Times New Roman"/>
          <w:strike/>
          <w:color w:val="000000"/>
          <w:sz w:val="24"/>
          <w:szCs w:val="24"/>
          <w:lang w:eastAsia="pt-BR"/>
        </w:rPr>
      </w:pPr>
      <w:r w:rsidRPr="002A4381">
        <w:rPr>
          <w:rFonts w:ascii="Times New Roman" w:eastAsia="Times New Roman" w:hAnsi="Times New Roman" w:cs="Times New Roman"/>
          <w:strike/>
          <w:color w:val="000000"/>
          <w:sz w:val="24"/>
          <w:szCs w:val="24"/>
          <w:lang w:eastAsia="pt-BR"/>
        </w:rPr>
        <w:lastRenderedPageBreak/>
        <w:t>§ 5° As petições protocoladas na Anvisa até a data da vigência da norma serão analisados à luz da norma vigente na data do protocolo.</w:t>
      </w:r>
    </w:p>
    <w:p w:rsidR="002A4381" w:rsidRPr="007B415B" w:rsidRDefault="002A4381" w:rsidP="002A4381">
      <w:pPr>
        <w:tabs>
          <w:tab w:val="left" w:pos="0"/>
        </w:tabs>
        <w:spacing w:line="240" w:lineRule="auto"/>
        <w:ind w:firstLine="567"/>
        <w:jc w:val="both"/>
        <w:rPr>
          <w:rFonts w:ascii="Times New Roman" w:hAnsi="Times New Roman"/>
          <w:sz w:val="24"/>
          <w:szCs w:val="24"/>
        </w:rPr>
      </w:pPr>
      <w:r w:rsidRPr="007B415B">
        <w:rPr>
          <w:rFonts w:ascii="Times New Roman" w:hAnsi="Times New Roman"/>
          <w:sz w:val="24"/>
          <w:szCs w:val="24"/>
        </w:rPr>
        <w:t>Art. 14. Esta Resolução entra em vigor em 23 de dezembro de 2015 para todos os protocolos de registro, inclusão de nova forma farmacêutica ou inclusão de nova concentração.</w:t>
      </w:r>
      <w:r w:rsidRPr="002A4381">
        <w:rPr>
          <w:rFonts w:ascii="Times New Roman" w:hAnsi="Times New Roman"/>
          <w:b/>
          <w:color w:val="0000FF"/>
          <w:sz w:val="24"/>
          <w:szCs w:val="24"/>
        </w:rPr>
        <w:t xml:space="preserve"> </w:t>
      </w:r>
      <w:r w:rsidRPr="002A4381">
        <w:rPr>
          <w:rFonts w:ascii="Times New Roman" w:hAnsi="Times New Roman"/>
          <w:b/>
          <w:color w:val="0000FF"/>
          <w:sz w:val="24"/>
          <w:szCs w:val="24"/>
        </w:rPr>
        <w:t>(Redação dada pela Resolução – RDC nº 171, de 24 de agosto de 2017)</w:t>
      </w:r>
    </w:p>
    <w:p w:rsidR="002A4381" w:rsidRPr="002A4381" w:rsidRDefault="002A4381" w:rsidP="002A4381">
      <w:pPr>
        <w:spacing w:line="240" w:lineRule="auto"/>
        <w:ind w:firstLine="567"/>
        <w:jc w:val="both"/>
        <w:rPr>
          <w:rFonts w:ascii="Times New Roman" w:eastAsia="Times New Roman" w:hAnsi="Times New Roman" w:cs="Times New Roman"/>
          <w:color w:val="000000"/>
          <w:sz w:val="24"/>
          <w:szCs w:val="24"/>
          <w:lang w:eastAsia="pt-BR"/>
        </w:rPr>
      </w:pPr>
      <w:r w:rsidRPr="007B415B">
        <w:rPr>
          <w:rFonts w:ascii="Times New Roman" w:hAnsi="Times New Roman"/>
          <w:sz w:val="24"/>
          <w:szCs w:val="24"/>
        </w:rPr>
        <w:t xml:space="preserve">Parágrafo </w:t>
      </w:r>
      <w:proofErr w:type="gramStart"/>
      <w:r w:rsidRPr="007B415B">
        <w:rPr>
          <w:rFonts w:ascii="Times New Roman" w:hAnsi="Times New Roman"/>
          <w:sz w:val="24"/>
          <w:szCs w:val="24"/>
        </w:rPr>
        <w:t>único Os</w:t>
      </w:r>
      <w:proofErr w:type="gramEnd"/>
      <w:r w:rsidRPr="007B415B">
        <w:rPr>
          <w:rFonts w:ascii="Times New Roman" w:hAnsi="Times New Roman"/>
          <w:sz w:val="24"/>
          <w:szCs w:val="24"/>
        </w:rPr>
        <w:t xml:space="preserve"> pedidos de registro, inclusão de nova forma farmacêutica e inclusão de nova concentração apresentados à ANVISA antes da entrada em vigor desta Resolução serão analisados à luz da norma vigente na data do protocolo</w:t>
      </w:r>
      <w:r>
        <w:rPr>
          <w:rFonts w:ascii="Times New Roman" w:hAnsi="Times New Roman"/>
          <w:sz w:val="24"/>
          <w:szCs w:val="24"/>
        </w:rPr>
        <w:t>.</w:t>
      </w:r>
      <w:r w:rsidRPr="002A4381">
        <w:rPr>
          <w:rFonts w:ascii="Times New Roman" w:hAnsi="Times New Roman"/>
          <w:b/>
          <w:color w:val="0000FF"/>
          <w:sz w:val="24"/>
          <w:szCs w:val="24"/>
        </w:rPr>
        <w:t xml:space="preserve"> </w:t>
      </w:r>
      <w:r w:rsidRPr="002A4381">
        <w:rPr>
          <w:rFonts w:ascii="Times New Roman" w:hAnsi="Times New Roman"/>
          <w:b/>
          <w:color w:val="0000FF"/>
          <w:sz w:val="24"/>
          <w:szCs w:val="24"/>
        </w:rPr>
        <w:t>(Redação dada pela Resolução – RDC nº 171, de 24 de agosto de 2017)</w:t>
      </w:r>
    </w:p>
    <w:p w:rsidR="00620592" w:rsidRPr="002A4381" w:rsidRDefault="00620592" w:rsidP="00CE43FF">
      <w:pPr>
        <w:spacing w:line="240" w:lineRule="auto"/>
        <w:ind w:firstLine="567"/>
        <w:jc w:val="both"/>
        <w:rPr>
          <w:rFonts w:ascii="Times New Roman" w:eastAsia="Times New Roman" w:hAnsi="Times New Roman" w:cs="Times New Roman"/>
          <w:strike/>
          <w:color w:val="000000"/>
          <w:sz w:val="24"/>
          <w:szCs w:val="24"/>
          <w:lang w:eastAsia="pt-BR"/>
        </w:rPr>
      </w:pPr>
      <w:r w:rsidRPr="002A4381">
        <w:rPr>
          <w:rFonts w:ascii="Times New Roman" w:eastAsia="Times New Roman" w:hAnsi="Times New Roman" w:cs="Times New Roman"/>
          <w:strike/>
          <w:color w:val="000000"/>
          <w:sz w:val="24"/>
          <w:szCs w:val="24"/>
          <w:lang w:eastAsia="pt-BR"/>
        </w:rPr>
        <w:t>Art. 15. Para os casos previstos nos parágrafos 1°, 2° e 3° do Art. 14 a adequação a esta Resolução deverá ser realizada por meio de protocolo específico, com a documentação pertinente.</w:t>
      </w:r>
    </w:p>
    <w:p w:rsidR="00A3435F" w:rsidRPr="002A4381" w:rsidRDefault="00620592" w:rsidP="00CE43FF">
      <w:pPr>
        <w:spacing w:line="240" w:lineRule="auto"/>
        <w:ind w:firstLine="567"/>
        <w:jc w:val="both"/>
        <w:rPr>
          <w:rFonts w:ascii="Times New Roman" w:eastAsia="Times New Roman" w:hAnsi="Times New Roman" w:cs="Times New Roman"/>
          <w:strike/>
          <w:color w:val="000000"/>
          <w:sz w:val="24"/>
          <w:szCs w:val="24"/>
          <w:lang w:eastAsia="pt-BR"/>
        </w:rPr>
      </w:pPr>
      <w:r w:rsidRPr="002A4381">
        <w:rPr>
          <w:rFonts w:ascii="Times New Roman" w:eastAsia="Times New Roman" w:hAnsi="Times New Roman" w:cs="Times New Roman"/>
          <w:strike/>
          <w:color w:val="000000"/>
          <w:sz w:val="24"/>
          <w:szCs w:val="24"/>
          <w:lang w:eastAsia="pt-BR"/>
        </w:rPr>
        <w:t>§ 1° Caso não tenha havido protocolo específico até a entrada em vigência da Resolução, a Anvisa poderá determinar a suspensão de fabricação até adequação ou cancelar o registro do produto.</w:t>
      </w:r>
    </w:p>
    <w:p w:rsidR="00620592" w:rsidRDefault="00620592" w:rsidP="00CE43FF">
      <w:pPr>
        <w:spacing w:line="240" w:lineRule="auto"/>
        <w:ind w:firstLine="567"/>
        <w:jc w:val="both"/>
        <w:rPr>
          <w:rFonts w:ascii="Times New Roman" w:eastAsia="Times New Roman" w:hAnsi="Times New Roman" w:cs="Times New Roman"/>
          <w:strike/>
          <w:color w:val="000000"/>
          <w:sz w:val="24"/>
          <w:szCs w:val="24"/>
          <w:lang w:eastAsia="pt-BR"/>
        </w:rPr>
      </w:pPr>
      <w:r w:rsidRPr="002A4381">
        <w:rPr>
          <w:rFonts w:ascii="Times New Roman" w:eastAsia="Times New Roman" w:hAnsi="Times New Roman" w:cs="Times New Roman"/>
          <w:strike/>
          <w:color w:val="000000"/>
          <w:sz w:val="24"/>
          <w:szCs w:val="24"/>
          <w:lang w:eastAsia="pt-BR"/>
        </w:rPr>
        <w:t>§ 2° Alterações pós-registro protocoladas em data igual ou posterior ao protocolo específico devem estar de acordo com esta Resolução.</w:t>
      </w:r>
    </w:p>
    <w:p w:rsidR="002A4381" w:rsidRDefault="002A4381" w:rsidP="002A4381">
      <w:pPr>
        <w:tabs>
          <w:tab w:val="left" w:pos="0"/>
        </w:tabs>
        <w:spacing w:line="240" w:lineRule="auto"/>
        <w:ind w:firstLine="567"/>
        <w:jc w:val="both"/>
        <w:rPr>
          <w:rFonts w:ascii="Times New Roman" w:hAnsi="Times New Roman"/>
          <w:b/>
          <w:color w:val="0000FF"/>
          <w:sz w:val="24"/>
          <w:szCs w:val="24"/>
        </w:rPr>
      </w:pPr>
      <w:r w:rsidRPr="007B415B">
        <w:rPr>
          <w:rFonts w:ascii="Times New Roman" w:hAnsi="Times New Roman"/>
          <w:sz w:val="24"/>
          <w:szCs w:val="24"/>
        </w:rPr>
        <w:t>Art. 15 Esta Resolução entra em vigor de forma escalonada para os medicamentos já registrados.</w:t>
      </w:r>
      <w:r w:rsidRPr="002A4381">
        <w:rPr>
          <w:rFonts w:ascii="Times New Roman" w:hAnsi="Times New Roman"/>
          <w:b/>
          <w:color w:val="0000FF"/>
          <w:sz w:val="24"/>
          <w:szCs w:val="24"/>
        </w:rPr>
        <w:t xml:space="preserve"> </w:t>
      </w:r>
      <w:r w:rsidRPr="002A4381">
        <w:rPr>
          <w:rFonts w:ascii="Times New Roman" w:hAnsi="Times New Roman"/>
          <w:b/>
          <w:color w:val="0000FF"/>
          <w:sz w:val="24"/>
          <w:szCs w:val="24"/>
        </w:rPr>
        <w:t>(Redação dada pela Resolução – RDC nº 171, de 24 de agosto de 2017)</w:t>
      </w:r>
    </w:p>
    <w:p w:rsidR="002A4381" w:rsidRPr="007B415B" w:rsidRDefault="002A4381" w:rsidP="002A4381">
      <w:pPr>
        <w:tabs>
          <w:tab w:val="left" w:pos="0"/>
        </w:tabs>
        <w:spacing w:line="240" w:lineRule="auto"/>
        <w:ind w:firstLine="567"/>
        <w:jc w:val="both"/>
        <w:rPr>
          <w:rFonts w:ascii="Times New Roman" w:hAnsi="Times New Roman"/>
          <w:sz w:val="24"/>
          <w:szCs w:val="24"/>
        </w:rPr>
      </w:pPr>
      <w:r w:rsidRPr="007B415B">
        <w:rPr>
          <w:rFonts w:ascii="Times New Roman" w:hAnsi="Times New Roman"/>
          <w:sz w:val="24"/>
          <w:szCs w:val="24"/>
        </w:rPr>
        <w:t xml:space="preserve">§ 1° Para medicamentos já registrados com as classificações listadas no Anexo I, esta Resolução entra em vigor em de 31 de dezembro de 2017. </w:t>
      </w:r>
      <w:r w:rsidRPr="002A4381">
        <w:rPr>
          <w:rFonts w:ascii="Times New Roman" w:hAnsi="Times New Roman"/>
          <w:b/>
          <w:color w:val="0000FF"/>
          <w:sz w:val="24"/>
          <w:szCs w:val="24"/>
        </w:rPr>
        <w:t>(Redação dada pela Resolução – RDC nº 171, de 24 de agosto de 2017)</w:t>
      </w:r>
    </w:p>
    <w:p w:rsidR="002A4381" w:rsidRPr="007B415B" w:rsidRDefault="002A4381" w:rsidP="002A4381">
      <w:pPr>
        <w:tabs>
          <w:tab w:val="left" w:pos="0"/>
        </w:tabs>
        <w:spacing w:line="240" w:lineRule="auto"/>
        <w:ind w:firstLine="567"/>
        <w:jc w:val="both"/>
        <w:rPr>
          <w:rFonts w:ascii="Times New Roman" w:hAnsi="Times New Roman"/>
          <w:sz w:val="24"/>
          <w:szCs w:val="24"/>
        </w:rPr>
      </w:pPr>
      <w:r w:rsidRPr="007B415B">
        <w:rPr>
          <w:rFonts w:ascii="Times New Roman" w:hAnsi="Times New Roman"/>
          <w:sz w:val="24"/>
          <w:szCs w:val="24"/>
        </w:rPr>
        <w:t xml:space="preserve">§ 2° Para medicamentos já registrados com as classificações listadas no Anexo II, esta Resolução entra em vigor em 31 de dezembro de 2019. </w:t>
      </w:r>
      <w:r w:rsidRPr="002A4381">
        <w:rPr>
          <w:rFonts w:ascii="Times New Roman" w:hAnsi="Times New Roman"/>
          <w:b/>
          <w:color w:val="0000FF"/>
          <w:sz w:val="24"/>
          <w:szCs w:val="24"/>
        </w:rPr>
        <w:t>(Redação dada pela Resolução – RDC nº 171, de 24 de agosto de 2017)</w:t>
      </w:r>
    </w:p>
    <w:p w:rsidR="002A4381" w:rsidRPr="007B415B" w:rsidRDefault="002A4381" w:rsidP="002A4381">
      <w:pPr>
        <w:tabs>
          <w:tab w:val="left" w:pos="0"/>
        </w:tabs>
        <w:spacing w:line="240" w:lineRule="auto"/>
        <w:ind w:firstLine="567"/>
        <w:jc w:val="both"/>
        <w:rPr>
          <w:rFonts w:ascii="Times New Roman" w:hAnsi="Times New Roman"/>
          <w:sz w:val="24"/>
          <w:szCs w:val="24"/>
        </w:rPr>
      </w:pPr>
      <w:r w:rsidRPr="007B415B">
        <w:rPr>
          <w:rFonts w:ascii="Times New Roman" w:hAnsi="Times New Roman"/>
          <w:sz w:val="24"/>
          <w:szCs w:val="24"/>
        </w:rPr>
        <w:t xml:space="preserve">§ 3° Para os demais medicamentos já registrados, esta Resolução entra em vigor em 31 de dezembro de 2020. </w:t>
      </w:r>
      <w:r w:rsidRPr="002A4381">
        <w:rPr>
          <w:rFonts w:ascii="Times New Roman" w:hAnsi="Times New Roman"/>
          <w:b/>
          <w:color w:val="0000FF"/>
          <w:sz w:val="24"/>
          <w:szCs w:val="24"/>
        </w:rPr>
        <w:t>(Redação dada pela Resolução – RDC nº 171, de 24 de agosto de 2017)</w:t>
      </w:r>
    </w:p>
    <w:p w:rsidR="002A4381" w:rsidRPr="007B415B" w:rsidRDefault="002A4381" w:rsidP="002A4381">
      <w:pPr>
        <w:tabs>
          <w:tab w:val="left" w:pos="0"/>
        </w:tabs>
        <w:spacing w:line="240" w:lineRule="auto"/>
        <w:ind w:firstLine="567"/>
        <w:jc w:val="both"/>
        <w:rPr>
          <w:rFonts w:ascii="Times New Roman" w:hAnsi="Times New Roman"/>
          <w:sz w:val="24"/>
          <w:szCs w:val="24"/>
        </w:rPr>
      </w:pPr>
      <w:r w:rsidRPr="007B415B">
        <w:rPr>
          <w:rFonts w:ascii="Times New Roman" w:hAnsi="Times New Roman"/>
          <w:sz w:val="24"/>
          <w:szCs w:val="24"/>
        </w:rPr>
        <w:t>§ 4° Os pedidos de mudanças pós-registro apresentados à ANVISA até os prazos estipulados nos §§ 1°, 2° e 3° serão analisados à luz da norma vigente na data do protocolo.</w:t>
      </w:r>
      <w:r w:rsidRPr="002A4381">
        <w:rPr>
          <w:rFonts w:ascii="Times New Roman" w:hAnsi="Times New Roman"/>
          <w:b/>
          <w:color w:val="0000FF"/>
          <w:sz w:val="24"/>
          <w:szCs w:val="24"/>
        </w:rPr>
        <w:t xml:space="preserve"> </w:t>
      </w:r>
      <w:r w:rsidRPr="002A4381">
        <w:rPr>
          <w:rFonts w:ascii="Times New Roman" w:hAnsi="Times New Roman"/>
          <w:b/>
          <w:color w:val="0000FF"/>
          <w:sz w:val="24"/>
          <w:szCs w:val="24"/>
        </w:rPr>
        <w:t>(Redação dada pela Resolução – RDC nº 171, de 24 de agosto de 2017)</w:t>
      </w:r>
    </w:p>
    <w:p w:rsidR="002A4381" w:rsidRPr="002A4381" w:rsidRDefault="002A4381" w:rsidP="002A4381">
      <w:pPr>
        <w:spacing w:line="240" w:lineRule="auto"/>
        <w:ind w:firstLine="567"/>
        <w:jc w:val="both"/>
        <w:rPr>
          <w:rFonts w:ascii="Times New Roman" w:eastAsia="Times New Roman" w:hAnsi="Times New Roman" w:cs="Times New Roman"/>
          <w:color w:val="000000"/>
          <w:sz w:val="24"/>
          <w:szCs w:val="24"/>
          <w:lang w:eastAsia="pt-BR"/>
        </w:rPr>
      </w:pPr>
      <w:r w:rsidRPr="007B415B">
        <w:rPr>
          <w:rFonts w:ascii="Times New Roman" w:hAnsi="Times New Roman"/>
          <w:sz w:val="24"/>
          <w:szCs w:val="24"/>
        </w:rPr>
        <w:t>§ 5° Medicamentos já registrados que não protocolarem as mudanças pós-registro listadas nos incisos IV a VIII do art. 13 desta Resolução precisarão se adequar a esta Resolução caso seja feita solicitação pela Anvisa, nos termos do Art. 12</w:t>
      </w:r>
      <w:r>
        <w:rPr>
          <w:rFonts w:ascii="Times New Roman" w:hAnsi="Times New Roman"/>
          <w:sz w:val="24"/>
          <w:szCs w:val="24"/>
        </w:rPr>
        <w:t>.</w:t>
      </w:r>
      <w:r w:rsidRPr="002A4381">
        <w:rPr>
          <w:rFonts w:ascii="Times New Roman" w:hAnsi="Times New Roman"/>
          <w:b/>
          <w:color w:val="0000FF"/>
          <w:sz w:val="24"/>
          <w:szCs w:val="24"/>
        </w:rPr>
        <w:t xml:space="preserve"> </w:t>
      </w:r>
      <w:r w:rsidRPr="002A4381">
        <w:rPr>
          <w:rFonts w:ascii="Times New Roman" w:hAnsi="Times New Roman"/>
          <w:b/>
          <w:color w:val="0000FF"/>
          <w:sz w:val="24"/>
          <w:szCs w:val="24"/>
        </w:rPr>
        <w:t>(Redação dada pela Resolução – RDC nº 171, de 24 de agosto de 2017)</w:t>
      </w:r>
      <w:bookmarkStart w:id="0" w:name="_GoBack"/>
      <w:bookmarkEnd w:id="0"/>
    </w:p>
    <w:p w:rsidR="00620592" w:rsidRPr="00620592" w:rsidRDefault="00620592" w:rsidP="00CE43FF">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Art. 16. Fica revogada a Resolução da Diretoria Colegiada- RDC n° 58, de 20 de dezembro de 2013.</w:t>
      </w:r>
    </w:p>
    <w:p w:rsidR="00CE43FF" w:rsidRDefault="00CE43FF" w:rsidP="00CE43FF">
      <w:pPr>
        <w:spacing w:line="240" w:lineRule="auto"/>
        <w:ind w:firstLine="567"/>
        <w:jc w:val="center"/>
        <w:rPr>
          <w:rFonts w:ascii="Times New Roman" w:eastAsia="Times New Roman" w:hAnsi="Times New Roman" w:cs="Times New Roman"/>
          <w:b/>
          <w:color w:val="000000"/>
          <w:sz w:val="24"/>
          <w:szCs w:val="24"/>
          <w:lang w:eastAsia="pt-BR"/>
        </w:rPr>
      </w:pPr>
    </w:p>
    <w:p w:rsidR="002A4381" w:rsidRDefault="00620592" w:rsidP="00CE43FF">
      <w:pPr>
        <w:spacing w:line="240" w:lineRule="auto"/>
        <w:ind w:firstLine="567"/>
        <w:jc w:val="center"/>
        <w:rPr>
          <w:rFonts w:ascii="Times New Roman" w:eastAsia="Times New Roman" w:hAnsi="Times New Roman" w:cs="Times New Roman"/>
          <w:b/>
          <w:color w:val="000000"/>
          <w:sz w:val="24"/>
          <w:szCs w:val="24"/>
          <w:lang w:eastAsia="pt-BR"/>
        </w:rPr>
      </w:pPr>
      <w:r w:rsidRPr="00B74B2C">
        <w:rPr>
          <w:rFonts w:ascii="Times New Roman" w:eastAsia="Times New Roman" w:hAnsi="Times New Roman" w:cs="Times New Roman"/>
          <w:b/>
          <w:color w:val="000000"/>
          <w:sz w:val="24"/>
          <w:szCs w:val="24"/>
          <w:lang w:eastAsia="pt-BR"/>
        </w:rPr>
        <w:t>JARBAS BARBOSA DA SILVA JUNIOR</w:t>
      </w:r>
    </w:p>
    <w:p w:rsidR="00620592" w:rsidRPr="00B74B2C" w:rsidRDefault="00620592" w:rsidP="00CE43FF">
      <w:pPr>
        <w:spacing w:line="240" w:lineRule="auto"/>
        <w:ind w:firstLine="567"/>
        <w:jc w:val="center"/>
        <w:rPr>
          <w:rFonts w:ascii="Times New Roman" w:eastAsia="Times New Roman" w:hAnsi="Times New Roman" w:cs="Times New Roman"/>
          <w:b/>
          <w:color w:val="000000"/>
          <w:sz w:val="24"/>
          <w:szCs w:val="24"/>
          <w:lang w:eastAsia="pt-BR"/>
        </w:rPr>
      </w:pPr>
      <w:r w:rsidRPr="00B74B2C">
        <w:rPr>
          <w:rFonts w:ascii="Times New Roman" w:eastAsia="Times New Roman" w:hAnsi="Times New Roman" w:cs="Times New Roman"/>
          <w:color w:val="000000"/>
          <w:sz w:val="24"/>
          <w:szCs w:val="24"/>
          <w:lang w:eastAsia="pt-BR"/>
        </w:rPr>
        <w:t>Diretor-Presidente</w:t>
      </w:r>
    </w:p>
    <w:p w:rsidR="00CE43FF" w:rsidRDefault="00CE43FF" w:rsidP="00CE43FF">
      <w:pPr>
        <w:spacing w:line="240" w:lineRule="auto"/>
        <w:jc w:val="center"/>
        <w:rPr>
          <w:rFonts w:ascii="Times New Roman" w:eastAsia="Times New Roman" w:hAnsi="Times New Roman" w:cs="Times New Roman"/>
          <w:b/>
          <w:bCs/>
          <w:color w:val="000000"/>
          <w:sz w:val="24"/>
          <w:szCs w:val="24"/>
          <w:lang w:eastAsia="pt-BR"/>
        </w:rPr>
      </w:pPr>
    </w:p>
    <w:p w:rsidR="00CE43FF" w:rsidRDefault="00CE43FF" w:rsidP="00CE43FF">
      <w:pPr>
        <w:spacing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ANEXO I</w:t>
      </w:r>
    </w:p>
    <w:p w:rsidR="00620592" w:rsidRPr="00620592" w:rsidRDefault="00620592" w:rsidP="00CE43FF">
      <w:pPr>
        <w:spacing w:line="240" w:lineRule="auto"/>
        <w:jc w:val="center"/>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b/>
          <w:bCs/>
          <w:color w:val="000000"/>
          <w:sz w:val="24"/>
          <w:szCs w:val="24"/>
          <w:lang w:eastAsia="pt-BR"/>
        </w:rPr>
        <w:t>PRIMEIRO ESCALÃO DE CLASSES TERAPÊUTICAS</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AGENTE IMUNOSUPRESSOR</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AMEBICIDAS, GIARDICIDAS E TRICOMONICIDAS</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AMINOGLICOSIDEOS</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ANTIBACTERIANO</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ANTIBIOTICO (ANTIMICOTICO)</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ANTIBIOTICOS ANTINEOPLASICOS</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ANTIBIOTICOS SISTEM -ASSOC MEDIC ENTRE ANTINFEC</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ANTIBIOTICOS SISTEMICOS SIMPLES</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ANTIREUMATICOS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ANTIBIOTICOS SISTEMICOS-ASSOCIACOES MEDICAMENTOSAS</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ANTI-FUNGICOS</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ANTIMALARICOS</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lastRenderedPageBreak/>
        <w:t>ANTIMETABOLICOS ANALOGOS DA PIRIMIDINA</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ANTIMETABOLICOS ANALOGOS DA PURINA</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ANTIMETABOLICOS ANTAGONISTAS DO ACIDO FOLICO</w:t>
      </w:r>
      <w:r w:rsidR="00CE43FF">
        <w:rPr>
          <w:rFonts w:ascii="Times New Roman" w:eastAsia="Times New Roman" w:hAnsi="Times New Roman" w:cs="Times New Roman"/>
          <w:color w:val="000000"/>
          <w:sz w:val="24"/>
          <w:szCs w:val="24"/>
          <w:lang w:eastAsia="pt-BR"/>
        </w:rPr>
        <w:t xml:space="preserve"> </w:t>
      </w:r>
      <w:r w:rsidRPr="00620592">
        <w:rPr>
          <w:rFonts w:ascii="Times New Roman" w:eastAsia="Times New Roman" w:hAnsi="Times New Roman" w:cs="Times New Roman"/>
          <w:color w:val="000000"/>
          <w:sz w:val="24"/>
          <w:szCs w:val="24"/>
          <w:lang w:eastAsia="pt-BR"/>
        </w:rPr>
        <w:t>ANTIMICOTICO</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ANTIMICOTICOS SISTEMICOS DE USO ORAL</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ANTINEOPLASICO</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ANTINEOPLASICOS CITOTOXICOS</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ANTINFECCIOSOS</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ANTIPARASITA RIOS</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ANTITIREOIDEANOS</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ANTIVIROTICOS</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ANTIVIROTICOS (INIBE REPLICACAO VIROTICA)</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CEFALOSPORINAS</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CITOSTATICOS ALQUILANTES</w:t>
      </w:r>
    </w:p>
    <w:p w:rsidR="00CE43FF"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CLASSE DAS TETRACICLINAS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CLORANFENICOL E ANALOGOS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ESTROGENOS ASSOCS A OUTROS FARMACOS EXCLUSIVE ANDROGENOS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ESTROGENOS SIMPLES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FENOXIPENICILINAS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HANSENOSTATICOS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HORMONIOS DA TIREOIDE E ANTITIREOIDEANOS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HORMONIOS SEXUAIS EXCLUSIVE OCITOCICOS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HORMONIOS TIREOIDEANOS SIMPLES OU ASSOCIADOS ENTRE SI</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IMUNODEPRESSOR</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IMUNOSUPRESSOR</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MACROLIDEOS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OCITOCICOS HORMONAIS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lastRenderedPageBreak/>
        <w:t>OUTROS ANTINEOPLASICOS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OUTROS ANTIPARASITARIOS PARA AFECCOES INTERNAS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OUTROS HORMONIOS MEDIADORES E PRODUTOS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EQUIVALENTES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PENICILINA DE AMPLO ESPECTRO</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PENICILINA G E DERIVADOS (BENZILPENICILINAS)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PENICILINAS PENICILINASE-RESISTENTES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PRODUTO PARA TRATAMENTO DA TRICOMONIASE</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RIFAMPICINAS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SULFAS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SULFAS SIMPLES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TRIMETOPRIMA EM ASSOCIACAO COM SULFAS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TUBERCULOSTATICOS</w:t>
      </w:r>
    </w:p>
    <w:p w:rsidR="00620592" w:rsidRPr="00620592"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proofErr w:type="spellStart"/>
      <w:r w:rsidRPr="00620592">
        <w:rPr>
          <w:rFonts w:ascii="Times New Roman" w:eastAsia="Times New Roman" w:hAnsi="Times New Roman" w:cs="Times New Roman"/>
          <w:color w:val="000000"/>
          <w:sz w:val="24"/>
          <w:szCs w:val="24"/>
          <w:lang w:eastAsia="pt-BR"/>
        </w:rPr>
        <w:t>TUBERCULOSTATICOS</w:t>
      </w:r>
      <w:proofErr w:type="spellEnd"/>
      <w:r w:rsidRPr="00620592">
        <w:rPr>
          <w:rFonts w:ascii="Times New Roman" w:eastAsia="Times New Roman" w:hAnsi="Times New Roman" w:cs="Times New Roman"/>
          <w:color w:val="000000"/>
          <w:sz w:val="24"/>
          <w:szCs w:val="24"/>
          <w:lang w:eastAsia="pt-BR"/>
        </w:rPr>
        <w:t xml:space="preserve"> E HANSENOSTATICOS</w:t>
      </w:r>
    </w:p>
    <w:p w:rsidR="002A4381" w:rsidRDefault="002A4381" w:rsidP="00CE43FF">
      <w:pPr>
        <w:spacing w:line="240" w:lineRule="auto"/>
        <w:ind w:firstLine="567"/>
        <w:jc w:val="center"/>
        <w:rPr>
          <w:rFonts w:ascii="Times New Roman" w:eastAsia="Times New Roman" w:hAnsi="Times New Roman" w:cs="Times New Roman"/>
          <w:color w:val="000000"/>
          <w:sz w:val="24"/>
          <w:szCs w:val="24"/>
          <w:lang w:eastAsia="pt-BR"/>
        </w:rPr>
      </w:pPr>
    </w:p>
    <w:p w:rsidR="002A4381" w:rsidRDefault="002A4381" w:rsidP="00CE43FF">
      <w:pPr>
        <w:spacing w:line="240" w:lineRule="auto"/>
        <w:ind w:firstLine="567"/>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ANEXO II</w:t>
      </w:r>
    </w:p>
    <w:p w:rsidR="002A4381" w:rsidRDefault="00620592" w:rsidP="00CE43FF">
      <w:pPr>
        <w:spacing w:line="240" w:lineRule="auto"/>
        <w:ind w:firstLine="567"/>
        <w:jc w:val="center"/>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b/>
          <w:bCs/>
          <w:color w:val="000000"/>
          <w:sz w:val="24"/>
          <w:szCs w:val="24"/>
          <w:lang w:eastAsia="pt-BR"/>
        </w:rPr>
        <w:t>SEGUNDO ESCALÃO DE CLASSES TERAPÊUTICAS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AGENTES BETABLOQUEADORES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ANALGESICOS CONTRA ENXAQUECA</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ANALGESICOS NAO NARCOTICOS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ANDROGENOS SIMPLES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ANSIOLITICOS SIMPLES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ANTIACIDO</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ANTIACIDOS E ANTIULCEROSOS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ANTIACIDOS E ANTIULCEROSOS ASSOCIADOS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ANTIACIDOS E ANTIULCEROSOS SIMPLES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ANTIAGREGANTE PLAQUETARIO</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lastRenderedPageBreak/>
        <w:t>ANTIASMATICOS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ANTICOAGULANTES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ANTICONCEPCIONAIS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ANTICONVULSIVANTES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ANTICONVULSIVANTES E ANTIPARKINSONIANOS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ANTIDEPRESSIVOS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ANTIDIABETICOS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ANTIGLAUCOMATOSOS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ANTIGOTOSOS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 HIPERTENSIVOS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ANTI-HIPERTENSIVOS SIMPLES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ANTI-HIPERTENSIVOS-ASSOCIACOES MEDICAMENTOSAS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ANTILIPEMICOS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ANTINFLAMATORIOS ANTIREUMATICOS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ANTINFLAMATORIOS E ANTIREUMATIOS-ASSOCS MEDICAMENTOSAS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ANTIPARKINSONIANOS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ANTITROMBOTICO</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ANTIULCEROSOS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BETABLOQUEADORES SIMPLES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BLOQUEADOR NEUROMUSCULAR</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DIURETICOS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DIURETICOS SIMPLES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GLICOCORTICOIDES SISTEMICOS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GLICOCORTICOIDES SISTEMICOS-ASSOCIACOES MEDICAMENTOSAS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GLICOSIDEOS CARDIACOS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HIPOGLICEMIANTE ORAL</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lastRenderedPageBreak/>
        <w:t>HORMONIOS CORTICOSTEROIDES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INIBIDOR DA ALFA-REDUTASE</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MEDICAMENTOS C/ ACAO NO MIOCARDIO</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NEUROLEPTICOS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OUTROS MEDICAMENTOS ANTIASMATICOS</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OUTROS PRODUTOS COM ACAO NO APARELHO</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CARDIOVASCULAR</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OUTROS PRODUTOS COM ACAO NO MIOCARDIO E SISTEMA DE CONDUCAO</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OUTROS PRODUTOS QUE ATUAM SOBRE O SISTEMA NERVOSO</w:t>
      </w:r>
    </w:p>
    <w:p w:rsidR="002A4381"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SUPRESSORES DA REABSORCAO OSSEA</w:t>
      </w:r>
    </w:p>
    <w:p w:rsidR="00620592" w:rsidRPr="00620592" w:rsidRDefault="00620592" w:rsidP="002A4381">
      <w:pPr>
        <w:spacing w:line="240" w:lineRule="auto"/>
        <w:ind w:firstLine="567"/>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VASODILATADORES CEREBRAIS</w:t>
      </w:r>
    </w:p>
    <w:p w:rsidR="002A4381" w:rsidRDefault="002A4381" w:rsidP="002A4381">
      <w:pPr>
        <w:spacing w:line="240" w:lineRule="auto"/>
        <w:rPr>
          <w:rFonts w:ascii="Times New Roman" w:eastAsia="Times New Roman" w:hAnsi="Times New Roman" w:cs="Times New Roman"/>
          <w:color w:val="000000"/>
          <w:sz w:val="24"/>
          <w:szCs w:val="24"/>
          <w:lang w:eastAsia="pt-BR"/>
        </w:rPr>
      </w:pPr>
    </w:p>
    <w:p w:rsidR="00620592" w:rsidRPr="00620592" w:rsidRDefault="002A4381" w:rsidP="002A4381">
      <w:pPr>
        <w:spacing w:line="240" w:lineRule="auto"/>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_____________________________</w:t>
      </w:r>
    </w:p>
    <w:p w:rsidR="00620592" w:rsidRPr="00620592" w:rsidRDefault="00620592" w:rsidP="002A4381">
      <w:pPr>
        <w:spacing w:line="240" w:lineRule="auto"/>
        <w:jc w:val="both"/>
        <w:rPr>
          <w:rFonts w:ascii="Times New Roman" w:eastAsia="Times New Roman" w:hAnsi="Times New Roman" w:cs="Times New Roman"/>
          <w:color w:val="000000"/>
          <w:sz w:val="24"/>
          <w:szCs w:val="24"/>
          <w:lang w:eastAsia="pt-BR"/>
        </w:rPr>
      </w:pPr>
      <w:r w:rsidRPr="00620592">
        <w:rPr>
          <w:rFonts w:ascii="Times New Roman" w:eastAsia="Times New Roman" w:hAnsi="Times New Roman" w:cs="Times New Roman"/>
          <w:color w:val="000000"/>
          <w:sz w:val="24"/>
          <w:szCs w:val="24"/>
          <w:lang w:eastAsia="pt-BR"/>
        </w:rPr>
        <w:t>(*</w:t>
      </w:r>
      <w:proofErr w:type="gramStart"/>
      <w:r w:rsidRPr="00620592">
        <w:rPr>
          <w:rFonts w:ascii="Times New Roman" w:eastAsia="Times New Roman" w:hAnsi="Times New Roman" w:cs="Times New Roman"/>
          <w:color w:val="000000"/>
          <w:sz w:val="24"/>
          <w:szCs w:val="24"/>
          <w:lang w:eastAsia="pt-BR"/>
        </w:rPr>
        <w:t>) Republicada</w:t>
      </w:r>
      <w:proofErr w:type="gramEnd"/>
      <w:r w:rsidRPr="00620592">
        <w:rPr>
          <w:rFonts w:ascii="Times New Roman" w:eastAsia="Times New Roman" w:hAnsi="Times New Roman" w:cs="Times New Roman"/>
          <w:color w:val="000000"/>
          <w:sz w:val="24"/>
          <w:szCs w:val="24"/>
          <w:lang w:eastAsia="pt-BR"/>
        </w:rPr>
        <w:t xml:space="preserve"> por ter ocorrido omissão de informação no Diário Oficial da União n° 233, de 07 de dezembro de </w:t>
      </w:r>
      <w:r w:rsidR="002A4381">
        <w:rPr>
          <w:rFonts w:ascii="Times New Roman" w:eastAsia="Times New Roman" w:hAnsi="Times New Roman" w:cs="Times New Roman"/>
          <w:color w:val="000000"/>
          <w:sz w:val="24"/>
          <w:szCs w:val="24"/>
          <w:lang w:eastAsia="pt-BR"/>
        </w:rPr>
        <w:t>2015, Seção 1, páginas 48 e 49.</w:t>
      </w:r>
    </w:p>
    <w:p w:rsidR="00620592" w:rsidRPr="00620592" w:rsidRDefault="00620592" w:rsidP="00A3435F">
      <w:pPr>
        <w:spacing w:before="150" w:after="150" w:line="240" w:lineRule="auto"/>
        <w:jc w:val="both"/>
        <w:rPr>
          <w:rFonts w:ascii="Times New Roman" w:eastAsia="Times New Roman" w:hAnsi="Times New Roman" w:cs="Times New Roman"/>
          <w:color w:val="000000"/>
          <w:sz w:val="24"/>
          <w:szCs w:val="24"/>
          <w:lang w:eastAsia="pt-BR"/>
        </w:rPr>
      </w:pPr>
    </w:p>
    <w:p w:rsidR="00620592" w:rsidRPr="00620592" w:rsidRDefault="00620592" w:rsidP="00A3435F">
      <w:pPr>
        <w:jc w:val="both"/>
        <w:rPr>
          <w:rFonts w:ascii="Times New Roman" w:hAnsi="Times New Roman" w:cs="Times New Roman"/>
          <w:sz w:val="24"/>
          <w:szCs w:val="24"/>
        </w:rPr>
      </w:pPr>
    </w:p>
    <w:sectPr w:rsidR="00620592" w:rsidRPr="00620592" w:rsidSect="00CE43F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C4E" w:rsidRDefault="00F10C4E" w:rsidP="00A3435F">
      <w:pPr>
        <w:spacing w:after="0" w:line="240" w:lineRule="auto"/>
      </w:pPr>
      <w:r>
        <w:separator/>
      </w:r>
    </w:p>
  </w:endnote>
  <w:endnote w:type="continuationSeparator" w:id="0">
    <w:p w:rsidR="00F10C4E" w:rsidRDefault="00F10C4E" w:rsidP="00A34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C4E" w:rsidRPr="008A0471" w:rsidRDefault="00F10C4E" w:rsidP="00A3435F">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F10C4E" w:rsidRDefault="00F10C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C4E" w:rsidRDefault="00F10C4E" w:rsidP="00A3435F">
      <w:pPr>
        <w:spacing w:after="0" w:line="240" w:lineRule="auto"/>
      </w:pPr>
      <w:r>
        <w:separator/>
      </w:r>
    </w:p>
  </w:footnote>
  <w:footnote w:type="continuationSeparator" w:id="0">
    <w:p w:rsidR="00F10C4E" w:rsidRDefault="00F10C4E" w:rsidP="00A34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C4E" w:rsidRPr="00B517AC" w:rsidRDefault="00F10C4E" w:rsidP="00A3435F">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0EAD3A7C" wp14:editId="26A95102">
          <wp:extent cx="657225" cy="647700"/>
          <wp:effectExtent l="0" t="0" r="9525" b="0"/>
          <wp:docPr id="2" name="Imagem 2"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10C4E" w:rsidRPr="00B517AC" w:rsidRDefault="00F10C4E" w:rsidP="00A3435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F10C4E" w:rsidRDefault="00F10C4E" w:rsidP="00A3435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 xml:space="preserve">Agência Nacional de Vigilância Sanitária </w:t>
    </w:r>
    <w:r w:rsidR="00CE43FF">
      <w:rPr>
        <w:rFonts w:ascii="Calibri" w:eastAsia="Times New Roman" w:hAnsi="Calibri" w:cs="Times New Roman"/>
        <w:b/>
        <w:sz w:val="24"/>
      </w:rPr>
      <w:t>–</w:t>
    </w:r>
    <w:r w:rsidRPr="00B517AC">
      <w:rPr>
        <w:rFonts w:ascii="Calibri" w:eastAsia="Times New Roman" w:hAnsi="Calibri" w:cs="Times New Roman"/>
        <w:b/>
        <w:sz w:val="24"/>
      </w:rPr>
      <w:t xml:space="preserve"> ANVISA</w:t>
    </w:r>
  </w:p>
  <w:p w:rsidR="00CE43FF" w:rsidRPr="00A3435F" w:rsidRDefault="00CE43FF" w:rsidP="00A3435F">
    <w:pPr>
      <w:tabs>
        <w:tab w:val="center" w:pos="4252"/>
        <w:tab w:val="right" w:pos="8504"/>
      </w:tabs>
      <w:spacing w:after="0" w:line="240" w:lineRule="auto"/>
      <w:jc w:val="center"/>
      <w:rPr>
        <w:rFonts w:ascii="Calibri" w:eastAsia="Times New Roman" w:hAnsi="Calibri" w:cs="Times New Roman"/>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C1B63"/>
    <w:multiLevelType w:val="multilevel"/>
    <w:tmpl w:val="CB8A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D6A3C"/>
    <w:multiLevelType w:val="hybridMultilevel"/>
    <w:tmpl w:val="2AC883CE"/>
    <w:lvl w:ilvl="0" w:tplc="011C0FB4">
      <w:start w:val="1"/>
      <w:numFmt w:val="decimal"/>
      <w:lvlText w:val="%1-"/>
      <w:lvlJc w:val="left"/>
      <w:pPr>
        <w:ind w:left="1068" w:hanging="360"/>
      </w:pPr>
      <w:rPr>
        <w:rFonts w:ascii="Times New Roman" w:eastAsia="Times New Roman" w:hAnsi="Times New Roman" w:cs="Times New Roman"/>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603C1834"/>
    <w:multiLevelType w:val="hybridMultilevel"/>
    <w:tmpl w:val="3382900C"/>
    <w:lvl w:ilvl="0" w:tplc="C66E15F2">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592"/>
    <w:rsid w:val="00236CA3"/>
    <w:rsid w:val="002A4381"/>
    <w:rsid w:val="00343E64"/>
    <w:rsid w:val="00573224"/>
    <w:rsid w:val="00620592"/>
    <w:rsid w:val="00A3435F"/>
    <w:rsid w:val="00B74B2C"/>
    <w:rsid w:val="00CE43FF"/>
    <w:rsid w:val="00F10C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B1FE"/>
  <w15:docId w15:val="{C2F248A0-FBB0-4043-9D5B-12CEC01F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har"/>
    <w:uiPriority w:val="9"/>
    <w:qFormat/>
    <w:rsid w:val="006205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2059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2059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2059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2059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20592"/>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620592"/>
    <w:rPr>
      <w:color w:val="0000FF"/>
      <w:u w:val="single"/>
    </w:rPr>
  </w:style>
  <w:style w:type="paragraph" w:styleId="NormalWeb">
    <w:name w:val="Normal (Web)"/>
    <w:basedOn w:val="Normal"/>
    <w:uiPriority w:val="99"/>
    <w:unhideWhenUsed/>
    <w:rsid w:val="006205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20592"/>
    <w:rPr>
      <w:b/>
      <w:bCs/>
    </w:rPr>
  </w:style>
  <w:style w:type="character" w:customStyle="1" w:styleId="apple-converted-space">
    <w:name w:val="apple-converted-space"/>
    <w:basedOn w:val="Fontepargpadro"/>
    <w:rsid w:val="00620592"/>
  </w:style>
  <w:style w:type="paragraph" w:styleId="Textodebalo">
    <w:name w:val="Balloon Text"/>
    <w:basedOn w:val="Normal"/>
    <w:link w:val="TextodebaloChar"/>
    <w:uiPriority w:val="99"/>
    <w:semiHidden/>
    <w:unhideWhenUsed/>
    <w:rsid w:val="0062059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20592"/>
    <w:rPr>
      <w:rFonts w:ascii="Tahoma" w:hAnsi="Tahoma" w:cs="Tahoma"/>
      <w:sz w:val="16"/>
      <w:szCs w:val="16"/>
    </w:rPr>
  </w:style>
  <w:style w:type="paragraph" w:styleId="Cabealho">
    <w:name w:val="header"/>
    <w:basedOn w:val="Normal"/>
    <w:link w:val="CabealhoChar"/>
    <w:uiPriority w:val="99"/>
    <w:unhideWhenUsed/>
    <w:rsid w:val="00A343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3435F"/>
  </w:style>
  <w:style w:type="paragraph" w:styleId="Rodap">
    <w:name w:val="footer"/>
    <w:basedOn w:val="Normal"/>
    <w:link w:val="RodapChar"/>
    <w:uiPriority w:val="99"/>
    <w:unhideWhenUsed/>
    <w:rsid w:val="00A3435F"/>
    <w:pPr>
      <w:tabs>
        <w:tab w:val="center" w:pos="4252"/>
        <w:tab w:val="right" w:pos="8504"/>
      </w:tabs>
      <w:spacing w:after="0" w:line="240" w:lineRule="auto"/>
    </w:pPr>
  </w:style>
  <w:style w:type="character" w:customStyle="1" w:styleId="RodapChar">
    <w:name w:val="Rodapé Char"/>
    <w:basedOn w:val="Fontepargpadro"/>
    <w:link w:val="Rodap"/>
    <w:uiPriority w:val="99"/>
    <w:rsid w:val="00A3435F"/>
  </w:style>
  <w:style w:type="paragraph" w:styleId="PargrafodaLista">
    <w:name w:val="List Paragraph"/>
    <w:basedOn w:val="Normal"/>
    <w:uiPriority w:val="34"/>
    <w:qFormat/>
    <w:rsid w:val="00A34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924751">
      <w:bodyDiv w:val="1"/>
      <w:marLeft w:val="0"/>
      <w:marRight w:val="0"/>
      <w:marTop w:val="0"/>
      <w:marBottom w:val="0"/>
      <w:divBdr>
        <w:top w:val="none" w:sz="0" w:space="0" w:color="auto"/>
        <w:left w:val="none" w:sz="0" w:space="0" w:color="auto"/>
        <w:bottom w:val="none" w:sz="0" w:space="0" w:color="auto"/>
        <w:right w:val="none" w:sz="0" w:space="0" w:color="auto"/>
      </w:divBdr>
      <w:divsChild>
        <w:div w:id="1119449438">
          <w:marLeft w:val="0"/>
          <w:marRight w:val="0"/>
          <w:marTop w:val="0"/>
          <w:marBottom w:val="0"/>
          <w:divBdr>
            <w:top w:val="none" w:sz="0" w:space="0" w:color="auto"/>
            <w:left w:val="none" w:sz="0" w:space="0" w:color="auto"/>
            <w:bottom w:val="none" w:sz="0" w:space="0" w:color="auto"/>
            <w:right w:val="none" w:sz="0" w:space="0" w:color="auto"/>
          </w:divBdr>
          <w:divsChild>
            <w:div w:id="205994613">
              <w:marLeft w:val="0"/>
              <w:marRight w:val="0"/>
              <w:marTop w:val="0"/>
              <w:marBottom w:val="0"/>
              <w:divBdr>
                <w:top w:val="none" w:sz="0" w:space="0" w:color="auto"/>
                <w:left w:val="none" w:sz="0" w:space="0" w:color="auto"/>
                <w:bottom w:val="none" w:sz="0" w:space="0" w:color="auto"/>
                <w:right w:val="none" w:sz="0" w:space="0" w:color="auto"/>
              </w:divBdr>
              <w:divsChild>
                <w:div w:id="1340427684">
                  <w:marLeft w:val="0"/>
                  <w:marRight w:val="0"/>
                  <w:marTop w:val="450"/>
                  <w:marBottom w:val="0"/>
                  <w:divBdr>
                    <w:top w:val="none" w:sz="0" w:space="0" w:color="auto"/>
                    <w:left w:val="none" w:sz="0" w:space="0" w:color="auto"/>
                    <w:bottom w:val="none" w:sz="0" w:space="0" w:color="auto"/>
                    <w:right w:val="none" w:sz="0" w:space="0" w:color="auto"/>
                  </w:divBdr>
                </w:div>
                <w:div w:id="9316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1047">
          <w:marLeft w:val="0"/>
          <w:marRight w:val="0"/>
          <w:marTop w:val="0"/>
          <w:marBottom w:val="0"/>
          <w:divBdr>
            <w:top w:val="none" w:sz="0" w:space="0" w:color="auto"/>
            <w:left w:val="none" w:sz="0" w:space="0" w:color="auto"/>
            <w:bottom w:val="none" w:sz="0" w:space="0" w:color="auto"/>
            <w:right w:val="none" w:sz="0" w:space="0" w:color="auto"/>
          </w:divBdr>
          <w:divsChild>
            <w:div w:id="428696461">
              <w:marLeft w:val="0"/>
              <w:marRight w:val="0"/>
              <w:marTop w:val="0"/>
              <w:marBottom w:val="0"/>
              <w:divBdr>
                <w:top w:val="none" w:sz="0" w:space="0" w:color="auto"/>
                <w:left w:val="none" w:sz="0" w:space="0" w:color="auto"/>
                <w:bottom w:val="none" w:sz="0" w:space="0" w:color="auto"/>
                <w:right w:val="none" w:sz="0" w:space="0" w:color="auto"/>
              </w:divBdr>
            </w:div>
          </w:divsChild>
        </w:div>
        <w:div w:id="86266622">
          <w:marLeft w:val="0"/>
          <w:marRight w:val="0"/>
          <w:marTop w:val="0"/>
          <w:marBottom w:val="0"/>
          <w:divBdr>
            <w:top w:val="none" w:sz="0" w:space="0" w:color="auto"/>
            <w:left w:val="none" w:sz="0" w:space="0" w:color="auto"/>
            <w:bottom w:val="none" w:sz="0" w:space="0" w:color="auto"/>
            <w:right w:val="none" w:sz="0" w:space="0" w:color="auto"/>
          </w:divBdr>
        </w:div>
        <w:div w:id="412362292">
          <w:marLeft w:val="0"/>
          <w:marRight w:val="0"/>
          <w:marTop w:val="0"/>
          <w:marBottom w:val="0"/>
          <w:divBdr>
            <w:top w:val="none" w:sz="0" w:space="0" w:color="auto"/>
            <w:left w:val="none" w:sz="0" w:space="0" w:color="auto"/>
            <w:bottom w:val="none" w:sz="0" w:space="0" w:color="auto"/>
            <w:right w:val="none" w:sz="0" w:space="0" w:color="auto"/>
          </w:divBdr>
          <w:divsChild>
            <w:div w:id="52433775">
              <w:marLeft w:val="0"/>
              <w:marRight w:val="0"/>
              <w:marTop w:val="0"/>
              <w:marBottom w:val="0"/>
              <w:divBdr>
                <w:top w:val="none" w:sz="0" w:space="0" w:color="auto"/>
                <w:left w:val="none" w:sz="0" w:space="0" w:color="auto"/>
                <w:bottom w:val="none" w:sz="0" w:space="0" w:color="auto"/>
                <w:right w:val="none" w:sz="0" w:space="0" w:color="auto"/>
              </w:divBdr>
            </w:div>
          </w:divsChild>
        </w:div>
        <w:div w:id="668561796">
          <w:marLeft w:val="0"/>
          <w:marRight w:val="0"/>
          <w:marTop w:val="0"/>
          <w:marBottom w:val="0"/>
          <w:divBdr>
            <w:top w:val="none" w:sz="0" w:space="0" w:color="auto"/>
            <w:left w:val="none" w:sz="0" w:space="0" w:color="auto"/>
            <w:bottom w:val="none" w:sz="0" w:space="0" w:color="auto"/>
            <w:right w:val="none" w:sz="0" w:space="0" w:color="auto"/>
          </w:divBdr>
          <w:divsChild>
            <w:div w:id="844632320">
              <w:marLeft w:val="0"/>
              <w:marRight w:val="0"/>
              <w:marTop w:val="0"/>
              <w:marBottom w:val="0"/>
              <w:divBdr>
                <w:top w:val="none" w:sz="0" w:space="0" w:color="auto"/>
                <w:left w:val="none" w:sz="0" w:space="0" w:color="auto"/>
                <w:bottom w:val="none" w:sz="0" w:space="0" w:color="auto"/>
                <w:right w:val="none" w:sz="0" w:space="0" w:color="auto"/>
              </w:divBdr>
              <w:divsChild>
                <w:div w:id="1688561008">
                  <w:marLeft w:val="0"/>
                  <w:marRight w:val="0"/>
                  <w:marTop w:val="0"/>
                  <w:marBottom w:val="0"/>
                  <w:divBdr>
                    <w:top w:val="none" w:sz="0" w:space="0" w:color="auto"/>
                    <w:left w:val="none" w:sz="0" w:space="0" w:color="auto"/>
                    <w:bottom w:val="none" w:sz="0" w:space="0" w:color="auto"/>
                    <w:right w:val="none" w:sz="0" w:space="0" w:color="auto"/>
                  </w:divBdr>
                  <w:divsChild>
                    <w:div w:id="306397943">
                      <w:marLeft w:val="300"/>
                      <w:marRight w:val="300"/>
                      <w:marTop w:val="0"/>
                      <w:marBottom w:val="0"/>
                      <w:divBdr>
                        <w:top w:val="none" w:sz="0" w:space="0" w:color="auto"/>
                        <w:left w:val="none" w:sz="0" w:space="0" w:color="auto"/>
                        <w:bottom w:val="none" w:sz="0" w:space="0" w:color="auto"/>
                        <w:right w:val="none" w:sz="0" w:space="0" w:color="auto"/>
                      </w:divBdr>
                    </w:div>
                    <w:div w:id="4749518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51574441">
          <w:marLeft w:val="0"/>
          <w:marRight w:val="0"/>
          <w:marTop w:val="0"/>
          <w:marBottom w:val="0"/>
          <w:divBdr>
            <w:top w:val="none" w:sz="0" w:space="0" w:color="auto"/>
            <w:left w:val="none" w:sz="0" w:space="0" w:color="auto"/>
            <w:bottom w:val="none" w:sz="0" w:space="0" w:color="auto"/>
            <w:right w:val="none" w:sz="0" w:space="0" w:color="auto"/>
          </w:divBdr>
          <w:divsChild>
            <w:div w:id="2818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3446CD-4D8F-4C51-9BA8-639F56B0144A}"/>
</file>

<file path=customXml/itemProps2.xml><?xml version="1.0" encoding="utf-8"?>
<ds:datastoreItem xmlns:ds="http://schemas.openxmlformats.org/officeDocument/2006/customXml" ds:itemID="{F35C569B-C09E-4E47-B67F-4D39C044C832}"/>
</file>

<file path=customXml/itemProps3.xml><?xml version="1.0" encoding="utf-8"?>
<ds:datastoreItem xmlns:ds="http://schemas.openxmlformats.org/officeDocument/2006/customXml" ds:itemID="{07134FE2-6B34-4A70-A305-528BF93CA676}"/>
</file>

<file path=docProps/app.xml><?xml version="1.0" encoding="utf-8"?>
<Properties xmlns="http://schemas.openxmlformats.org/officeDocument/2006/extended-properties" xmlns:vt="http://schemas.openxmlformats.org/officeDocument/2006/docPropsVTypes">
  <Template>Normal</Template>
  <TotalTime>21</TotalTime>
  <Pages>13</Pages>
  <Words>3163</Words>
  <Characters>17086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THAIS.PEREIRA</dc:creator>
  <cp:lastModifiedBy>Raianne Liberal Coutinho</cp:lastModifiedBy>
  <cp:revision>3</cp:revision>
  <dcterms:created xsi:type="dcterms:W3CDTF">2016-10-26T17:28:00Z</dcterms:created>
  <dcterms:modified xsi:type="dcterms:W3CDTF">2017-08-24T18:10:00Z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