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78" w:rsidRDefault="00DA3878" w:rsidP="00DA3878">
      <w:pPr>
        <w:pStyle w:val="NormalWeb"/>
        <w:spacing w:before="0" w:beforeAutospacing="0" w:after="200" w:afterAutospacing="0"/>
        <w:ind w:left="-567" w:right="-567"/>
        <w:jc w:val="center"/>
        <w:rPr>
          <w:rFonts w:ascii="Times New Roman" w:hAnsi="Times New Roman" w:cs="Times New Roman"/>
          <w:b/>
          <w:bCs/>
        </w:rPr>
      </w:pPr>
      <w:r w:rsidRPr="00DA3878">
        <w:rPr>
          <w:rFonts w:ascii="Times New Roman" w:hAnsi="Times New Roman" w:cs="Times New Roman"/>
          <w:b/>
          <w:bCs/>
        </w:rPr>
        <w:t>RESOLUÇÃO DA DIRETORIA COLEGIADA – RD</w:t>
      </w:r>
      <w:r>
        <w:rPr>
          <w:rFonts w:ascii="Times New Roman" w:hAnsi="Times New Roman" w:cs="Times New Roman"/>
          <w:b/>
          <w:bCs/>
        </w:rPr>
        <w:t>C Nº 68, DE 28 DE MARÇO DE 2003</w:t>
      </w:r>
    </w:p>
    <w:p w:rsidR="00DA3878" w:rsidRPr="00DA3878" w:rsidRDefault="00DA3878" w:rsidP="00DA3878">
      <w:pPr>
        <w:pStyle w:val="NormalWeb"/>
        <w:spacing w:before="0" w:beforeAutospacing="0" w:after="200" w:afterAutospacing="0"/>
        <w:ind w:left="-567" w:right="-567"/>
        <w:jc w:val="center"/>
        <w:rPr>
          <w:rFonts w:ascii="Times New Roman" w:hAnsi="Times New Roman" w:cs="Times New Roman"/>
          <w:color w:val="0000FF"/>
        </w:rPr>
      </w:pPr>
      <w:r w:rsidRPr="00DA3878">
        <w:rPr>
          <w:rFonts w:ascii="Times New Roman" w:hAnsi="Times New Roman" w:cs="Times New Roman"/>
          <w:b/>
          <w:bCs/>
          <w:color w:val="0000FF"/>
        </w:rPr>
        <w:t>(Publicada no DOU nº 62, de 31 de março de 2003)</w:t>
      </w:r>
    </w:p>
    <w:p w:rsidR="00DA3878" w:rsidRDefault="00DA3878" w:rsidP="00DA3878">
      <w:pPr>
        <w:pStyle w:val="Corpodetexto2"/>
        <w:spacing w:after="200"/>
        <w:ind w:left="3969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Estabelece condições para importação, comercialização, exposição ao consumo dos produtos incluídos na Resolução da Diretoria Colegiada - RDC nº 305, de 14 de novembro de 2002.</w:t>
      </w:r>
    </w:p>
    <w:p w:rsidR="00DA3878" w:rsidRDefault="00DA3878" w:rsidP="00DA3878">
      <w:pPr>
        <w:spacing w:after="200"/>
        <w:ind w:firstLine="567"/>
        <w:jc w:val="both"/>
      </w:pPr>
      <w:r w:rsidRPr="00DA3878">
        <w:rPr>
          <w:b/>
          <w:bCs/>
        </w:rPr>
        <w:t>A Diretoria Colegiada da Agência Nacional de Vigilância Sanitária</w:t>
      </w:r>
      <w:r w:rsidRPr="00DA3878">
        <w:t>, no uso</w:t>
      </w:r>
      <w:r w:rsidRPr="00DA3878">
        <w:t xml:space="preserve"> da atribuição que lhe confere o art. 11, inciso IV, do Regulamento da ANVISA, aprovado pelo Decreto nº 3.029, de 16 de abril de 1999, c/c o § 1º do art. 111, do Regimento Interno aprovado pela Portaria nº 593, de 25 de agosto de 2000, republicada em 22 de</w:t>
      </w:r>
      <w:r w:rsidRPr="00DA3878">
        <w:t xml:space="preserve"> dezembro de 2000, em reunião realizada em 27 de março de 2003,</w:t>
      </w:r>
    </w:p>
    <w:p w:rsidR="00DA3878" w:rsidRDefault="00DA3878" w:rsidP="00DA3878">
      <w:pPr>
        <w:pStyle w:val="Corpodetexto3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considerando as recomendações da Organização Mundial de Saúde (OMS) sobre a prevenção das encefalopatias espongiformes transmissíveis (EETs);</w:t>
      </w:r>
    </w:p>
    <w:p w:rsidR="00DA3878" w:rsidRDefault="00DA3878" w:rsidP="00DA3878">
      <w:pPr>
        <w:spacing w:after="200"/>
        <w:ind w:firstLine="567"/>
        <w:jc w:val="both"/>
      </w:pPr>
      <w:r w:rsidRPr="00DA3878">
        <w:t>considerando a necessidade de padronizar dados s</w:t>
      </w:r>
      <w:r w:rsidRPr="00DA3878">
        <w:t>obre matéria-prima definida no Decreto nº 3.961, de 10 de outubro de 2001;</w:t>
      </w:r>
    </w:p>
    <w:p w:rsidR="00DA3878" w:rsidRDefault="00DA3878" w:rsidP="00DA3878">
      <w:pPr>
        <w:spacing w:after="200"/>
        <w:ind w:firstLine="567"/>
        <w:jc w:val="both"/>
      </w:pPr>
      <w:r w:rsidRPr="00DA3878">
        <w:t>considerando a necessidade de informação sobre componentes de produtos para uso em seres humanos;</w:t>
      </w:r>
    </w:p>
    <w:p w:rsidR="00DA3878" w:rsidRDefault="00DA3878" w:rsidP="00DA3878">
      <w:pPr>
        <w:spacing w:after="200"/>
        <w:ind w:firstLine="567"/>
        <w:jc w:val="both"/>
      </w:pPr>
      <w:r w:rsidRPr="00DA3878">
        <w:t>considerando também o disposto na Resolução RDC nº 305, de 14 de novembro de 2002</w:t>
      </w:r>
      <w:r w:rsidRPr="00DA3878">
        <w:t>;</w:t>
      </w:r>
    </w:p>
    <w:p w:rsidR="00DA3878" w:rsidRDefault="00DA3878" w:rsidP="00DA3878">
      <w:pPr>
        <w:pStyle w:val="Recuodecorpodetexto2"/>
        <w:spacing w:after="200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considerando a necessidade de promover a fiscalização sanitária da importação de mercadorias de que trata a RDC nº 305, de 2002;</w:t>
      </w:r>
    </w:p>
    <w:p w:rsidR="00DA3878" w:rsidRDefault="00DA3878" w:rsidP="00DA3878">
      <w:pPr>
        <w:spacing w:after="200"/>
        <w:ind w:firstLine="567"/>
        <w:jc w:val="both"/>
      </w:pPr>
      <w:r w:rsidRPr="00DA3878">
        <w:t>considerando a necessidade de garantir a introdução no território nacional de mercadorias importadas que atendam aos padrõ</w:t>
      </w:r>
      <w:r w:rsidRPr="00DA3878">
        <w:t>es de identidade e qualidade exigidos pela legislação sanitária vigente;</w:t>
      </w:r>
    </w:p>
    <w:p w:rsidR="00DA3878" w:rsidRDefault="00DA3878" w:rsidP="00DA3878">
      <w:pPr>
        <w:spacing w:after="200"/>
        <w:ind w:firstLine="567"/>
        <w:jc w:val="both"/>
      </w:pPr>
      <w:r w:rsidRPr="00DA3878">
        <w:t>considerando a necessidade de estabelecer procedimentos a serem cumpridos pelos importadores no tocante à importação de mercadorias de que trata RDC nº 305, de 2002;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 xml:space="preserve">considerando a </w:t>
      </w:r>
      <w:r w:rsidRPr="00DA3878">
        <w:rPr>
          <w:rFonts w:ascii="Times New Roman" w:hAnsi="Times New Roman" w:cs="Times New Roman"/>
          <w:sz w:val="24"/>
          <w:szCs w:val="24"/>
        </w:rPr>
        <w:t>necessidade de uniformizar procedimentos de fiscalização sanitária relativos à internalização no território nacional , de mercadorias importadas,</w:t>
      </w:r>
    </w:p>
    <w:p w:rsidR="00DA3878" w:rsidRDefault="00DA3878" w:rsidP="00DA3878">
      <w:pPr>
        <w:spacing w:after="200"/>
        <w:ind w:firstLine="567"/>
        <w:jc w:val="both"/>
      </w:pPr>
      <w:r w:rsidRPr="00DA3878">
        <w:t>Adotou a seguinte Resolução da Diretoria Colegiada e eu, Diretor-Presidente Substituto, determino a sua publi</w:t>
      </w:r>
      <w:r w:rsidRPr="00DA3878">
        <w:t>cação:</w:t>
      </w:r>
    </w:p>
    <w:p w:rsidR="00DA3878" w:rsidRDefault="00DA3878" w:rsidP="00DA3878">
      <w:pPr>
        <w:spacing w:after="200"/>
        <w:ind w:firstLine="567"/>
        <w:jc w:val="both"/>
      </w:pPr>
      <w:r w:rsidRPr="00DA3878">
        <w:t>Art. 1º Para o cumprimento do art. 2º da. RDC nº 305, de 2002, será obrigatória a apresentação das informações conforme disposto no anexo desta Resolução,</w:t>
      </w:r>
      <w:r>
        <w:t xml:space="preserve"> </w:t>
      </w:r>
      <w:r w:rsidRPr="00DA3878">
        <w:t>quanto ao ingresso, à comercialização e à exposição ao consumo, dos produtos (acabados, semi-e</w:t>
      </w:r>
      <w:r w:rsidRPr="00DA3878">
        <w:t>laborados ou a granel) para uso em seres humanos, contendo matéria-prima cujo material de partida seja obtido a partir de tecidos/fluidos de animais ruminantes, além dos documentos já previstos na legislação vigente.</w:t>
      </w:r>
    </w:p>
    <w:p w:rsidR="00DA3878" w:rsidRPr="00DA3878" w:rsidRDefault="00DA3878" w:rsidP="00DA3878">
      <w:pPr>
        <w:spacing w:after="200"/>
        <w:ind w:firstLine="567"/>
        <w:jc w:val="both"/>
        <w:rPr>
          <w:b/>
          <w:bCs/>
          <w:strike/>
        </w:rPr>
      </w:pPr>
      <w:r w:rsidRPr="00DA3878">
        <w:rPr>
          <w:strike/>
        </w:rPr>
        <w:lastRenderedPageBreak/>
        <w:t xml:space="preserve">Parágrafo único. As informações a que </w:t>
      </w:r>
      <w:r w:rsidRPr="00DA3878">
        <w:rPr>
          <w:strike/>
        </w:rPr>
        <w:t>se refere este artigo são pré-requisitos para o pleito de autorização de embarque da mercadoria no exterior.</w:t>
      </w:r>
      <w:r w:rsidRPr="00DA3878">
        <w:rPr>
          <w:b/>
          <w:color w:val="0000FF"/>
        </w:rPr>
        <w:t xml:space="preserve"> (Revogado pela Resolução – RDC nº 208, de 5 de janeiro de 2018)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Art. 2º A embalagem externa da mercadoria deverá portar símile do quadro Q2 do anexo desta Resolução em local visível, com leitura e acesso fáceis</w:t>
      </w:r>
      <w:r w:rsidRPr="00DA3878">
        <w:rPr>
          <w:rFonts w:ascii="Times New Roman" w:hAnsi="Times New Roman" w:cs="Times New Roman"/>
          <w:sz w:val="24"/>
          <w:szCs w:val="24"/>
        </w:rPr>
        <w:t xml:space="preserve"> para a inspeção sanitária.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Art. 3º Deverão ser apresentadas a cada importação as informações integrantes dos quadros Q1 e Q2 e a cópia da documentação comprobatória referente ao quadro Q3.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Parágrafo único. As informações do quadro Q3, somente serão acei</w:t>
      </w:r>
      <w:r w:rsidRPr="00DA3878">
        <w:rPr>
          <w:rFonts w:ascii="Times New Roman" w:hAnsi="Times New Roman" w:cs="Times New Roman"/>
          <w:sz w:val="24"/>
          <w:szCs w:val="24"/>
        </w:rPr>
        <w:t>tas quando apresentadas em idiomas português, inglês ou espanhol.</w:t>
      </w:r>
    </w:p>
    <w:p w:rsidR="00DA3878" w:rsidRP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878">
        <w:rPr>
          <w:rFonts w:ascii="Times New Roman" w:hAnsi="Times New Roman" w:cs="Times New Roman"/>
          <w:strike/>
          <w:sz w:val="24"/>
          <w:szCs w:val="24"/>
        </w:rPr>
        <w:t>Art. 4º Para a importação de produtos cujo material de partida sejam tecidos/fluidos das categorias I, II, III, descritas no anexo 4 da RDC nº 305, de 2002 , a documentação referente ao qua</w:t>
      </w:r>
      <w:r w:rsidRPr="00DA3878">
        <w:rPr>
          <w:rFonts w:ascii="Times New Roman" w:hAnsi="Times New Roman" w:cs="Times New Roman"/>
          <w:strike/>
          <w:sz w:val="24"/>
          <w:szCs w:val="24"/>
        </w:rPr>
        <w:t>dro Q3 deverá ser submetida à análise e autorização, previamente ao seu embarque no exterior,  pela área técnica competente da ANVISA, em Brasília.</w:t>
      </w:r>
      <w:r w:rsidRPr="00DA387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A3878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208, de 5 de janeiro de 2018)</w:t>
      </w:r>
    </w:p>
    <w:p w:rsidR="00DA3878" w:rsidRP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878">
        <w:rPr>
          <w:rFonts w:ascii="Times New Roman" w:hAnsi="Times New Roman" w:cs="Times New Roman"/>
          <w:strike/>
          <w:sz w:val="24"/>
          <w:szCs w:val="24"/>
        </w:rPr>
        <w:t>Art. 5º Para a importação de produtos cujo material de partida sejam tecidos/fluidos apenas da categoria IV</w:t>
      </w:r>
      <w:r w:rsidRPr="00DA3878">
        <w:rPr>
          <w:rFonts w:ascii="Times New Roman" w:hAnsi="Times New Roman" w:cs="Times New Roman"/>
          <w:strike/>
          <w:sz w:val="24"/>
          <w:szCs w:val="24"/>
        </w:rPr>
        <w:t>, descrita no anexo 4 da RDC nº 305, de 2002 , a documentação referente ao quadro Q3 deverá ser submetida à análise e autorização, previamente ao seu embarque no exterior pela autoridade sanitária da ANVISA em exercício no local de desembaraço da mercadori</w:t>
      </w:r>
      <w:r w:rsidRPr="00DA3878">
        <w:rPr>
          <w:rFonts w:ascii="Times New Roman" w:hAnsi="Times New Roman" w:cs="Times New Roman"/>
          <w:strike/>
          <w:sz w:val="24"/>
          <w:szCs w:val="24"/>
        </w:rPr>
        <w:t>a.</w:t>
      </w:r>
      <w:r w:rsidRPr="00DA3878">
        <w:rPr>
          <w:b/>
          <w:color w:val="0000FF"/>
        </w:rPr>
        <w:t xml:space="preserve"> </w:t>
      </w:r>
      <w:r w:rsidRPr="00DA3878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208, de 5 de janeiro de 2018)</w:t>
      </w:r>
    </w:p>
    <w:p w:rsidR="00DA3878" w:rsidRPr="00DA3878" w:rsidRDefault="00DA3878" w:rsidP="00DA3878">
      <w:pPr>
        <w:pStyle w:val="Corpodetexto"/>
        <w:tabs>
          <w:tab w:val="left" w:pos="7655"/>
        </w:tabs>
        <w:spacing w:after="20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878">
        <w:rPr>
          <w:rFonts w:ascii="Times New Roman" w:hAnsi="Times New Roman" w:cs="Times New Roman"/>
          <w:strike/>
          <w:sz w:val="24"/>
          <w:szCs w:val="24"/>
        </w:rPr>
        <w:t>Art .6º A importação de produtos cujo material de partida sejam tecidos/fluidos não previstos no anexo 4 da RDC nº 305, de 2002, deverá ser submetida à análise e autorização, previamente ao seu embarque no exterior, pela autoridade sanitária da ANVISA,</w:t>
      </w:r>
      <w:r w:rsidRPr="00DA3878">
        <w:rPr>
          <w:rFonts w:ascii="Times New Roman" w:hAnsi="Times New Roman" w:cs="Times New Roman"/>
          <w:strike/>
          <w:sz w:val="24"/>
          <w:szCs w:val="24"/>
        </w:rPr>
        <w:t xml:space="preserve"> em Brasília</w:t>
      </w:r>
      <w:r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DA3878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208, de 5 de janeiro de 2018)</w:t>
      </w:r>
      <w:bookmarkStart w:id="0" w:name="_GoBack"/>
      <w:bookmarkEnd w:id="0"/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Art.7º A introdução de novos tecidos/fluidos no anexo 4 da RDC nº 305, de 2002, dar-se-á por meio de RDC.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Art. 8º As pessoas físicas ou jurídicas que operem importação de mercadorias através do Sistema Integrado de Comércio Exterior - SISCOM</w:t>
      </w:r>
      <w:r w:rsidRPr="00DA3878">
        <w:rPr>
          <w:rFonts w:ascii="Times New Roman" w:hAnsi="Times New Roman" w:cs="Times New Roman"/>
          <w:sz w:val="24"/>
          <w:szCs w:val="24"/>
        </w:rPr>
        <w:t>EX receberão da área técnica competente da ANVISA o resultado da análise do pleito de importação "on line", através da autorização ou não da anuência prévia em Licença de Importação - LI ou em Licença Simplificada de Importação - LSI.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Parágrafo ú</w:t>
      </w:r>
      <w:r w:rsidRPr="00DA3878">
        <w:rPr>
          <w:rFonts w:ascii="Times New Roman" w:hAnsi="Times New Roman" w:cs="Times New Roman"/>
          <w:sz w:val="24"/>
          <w:szCs w:val="24"/>
        </w:rPr>
        <w:t>nico. O deferimento da importação no SISCOMEX dar-se-á pela autoridade sanitária da ANVISA em exercício no local de desembaraço da mercadoria importada, mediante a apresentação dos documentos constantes do anexo desta Resolução e de inspeção física satisfa</w:t>
      </w:r>
      <w:r w:rsidRPr="00DA3878">
        <w:rPr>
          <w:rFonts w:ascii="Times New Roman" w:hAnsi="Times New Roman" w:cs="Times New Roman"/>
          <w:sz w:val="24"/>
          <w:szCs w:val="24"/>
        </w:rPr>
        <w:t>tória.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lastRenderedPageBreak/>
        <w:t>Art. 9º As pessoas físicas ou jurídicas que operem importações de mercadorias através de remessas postais ou expressas, ficarão também sujeitas às exigências constantes desta Resolução.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Art. 10 As mercadorias importadas de que trata esta Resolução</w:t>
      </w:r>
      <w:r w:rsidRPr="00DA3878">
        <w:rPr>
          <w:rFonts w:ascii="Times New Roman" w:hAnsi="Times New Roman" w:cs="Times New Roman"/>
          <w:sz w:val="24"/>
          <w:szCs w:val="24"/>
        </w:rPr>
        <w:t xml:space="preserve"> quando da chegada no território nacional deverão apresentar-se embaladas, identificadas, com prazo de validade em vigência e dentro da expectativa de consumo no território nacional e dentro dos padrões de identidade e qualidade exigidos pela legislação sa</w:t>
      </w:r>
      <w:r w:rsidRPr="00DA3878">
        <w:rPr>
          <w:rFonts w:ascii="Times New Roman" w:hAnsi="Times New Roman" w:cs="Times New Roman"/>
          <w:sz w:val="24"/>
          <w:szCs w:val="24"/>
        </w:rPr>
        <w:t>nitária vigente.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Art. 11 À chegada da mercadoria no território nacional, o importador deverá apresentar ainda à autoridade sanitária em exercício no local de desembaraço, os seguintes documentos:</w:t>
      </w:r>
    </w:p>
    <w:p w:rsidR="00000000" w:rsidRP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a) fatura comercial;</w:t>
      </w:r>
    </w:p>
    <w:p w:rsidR="00000000" w:rsidRP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b) conhecimento de carga;</w:t>
      </w:r>
    </w:p>
    <w:p w:rsidR="00000000" w:rsidRP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c) identifi</w:t>
      </w:r>
      <w:r w:rsidRPr="00DA3878">
        <w:rPr>
          <w:rFonts w:ascii="Times New Roman" w:hAnsi="Times New Roman" w:cs="Times New Roman"/>
          <w:sz w:val="24"/>
          <w:szCs w:val="24"/>
        </w:rPr>
        <w:t>cação de lote ou partida;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d). laudo analítico de controle de qualidade expedido pelo fabricante.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Art.12 Além das exigências previstas nesta Resolução, deverão ser apresentados, o laudo analítico de controle de qualidade da matéria prima para a comprovação</w:t>
      </w:r>
      <w:r w:rsidRPr="00DA3878">
        <w:rPr>
          <w:rFonts w:ascii="Times New Roman" w:hAnsi="Times New Roman" w:cs="Times New Roman"/>
          <w:sz w:val="24"/>
          <w:szCs w:val="24"/>
        </w:rPr>
        <w:t xml:space="preserve"> das informações contidas no quadro Q1 e os documentos integrantes do quadro Q 3,quando da ocorrência das seguintes situações: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1. nos momentos da solicitação de registro, da revalidação de registro ou isenção de registro de produtos na ANVISA;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2. nas alt</w:t>
      </w:r>
      <w:r w:rsidRPr="00DA3878">
        <w:rPr>
          <w:rFonts w:ascii="Times New Roman" w:hAnsi="Times New Roman" w:cs="Times New Roman"/>
          <w:sz w:val="24"/>
          <w:szCs w:val="24"/>
        </w:rPr>
        <w:t>erações que impliquem em mudanças na composição do produto, na origem geográfica dos produtos e de seus componentes e de mudanças no processo de obtenção dos componentes da formulação;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3. nas inspeções de rotina, incluindo inspeções para certificação de b</w:t>
      </w:r>
      <w:r w:rsidRPr="00DA3878">
        <w:rPr>
          <w:rFonts w:ascii="Times New Roman" w:hAnsi="Times New Roman" w:cs="Times New Roman"/>
          <w:sz w:val="24"/>
          <w:szCs w:val="24"/>
        </w:rPr>
        <w:t>oas práticas de fabricação e controle (CBPFC).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4. A qualquer momento julgado pertinente pela autoridade sanitária federal.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§ 1º-Deverá ser  apresentada cópia consularizada dos documentos constantes do Quadro Q 3 e respectiva tradução juramentada para o i</w:t>
      </w:r>
      <w:r w:rsidRPr="00DA3878">
        <w:rPr>
          <w:rFonts w:ascii="Times New Roman" w:hAnsi="Times New Roman" w:cs="Times New Roman"/>
          <w:sz w:val="24"/>
          <w:szCs w:val="24"/>
        </w:rPr>
        <w:t>dioma português.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§ 2º Poderão ser exigidos complementarmente as informações referentes a ordem de produção e o método de fabricação da matéria-prima objeto desta Resolução.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 13 Poderão ser solicitadas informações adicionais pelo órgão regulató</w:t>
      </w:r>
      <w:r w:rsidRPr="00DA3878">
        <w:rPr>
          <w:rFonts w:ascii="Times New Roman" w:hAnsi="Times New Roman" w:cs="Times New Roman"/>
          <w:sz w:val="24"/>
          <w:szCs w:val="24"/>
        </w:rPr>
        <w:t>rio em qualquer momento.</w:t>
      </w:r>
    </w:p>
    <w:p w:rsidR="00000000" w:rsidRP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 14. As situações não previstas nesta Resolução deverão ser analisadas pelas áreas técnicas da ANVISA, em Brasília .</w:t>
      </w:r>
    </w:p>
    <w:p w:rsidR="00DA3878" w:rsidRDefault="00DA3878" w:rsidP="00DA387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</w:rPr>
      </w:pPr>
      <w:r w:rsidRPr="00DA3878">
        <w:rPr>
          <w:rFonts w:ascii="Times New Roman" w:hAnsi="Times New Roman" w:cs="Times New Roman"/>
        </w:rPr>
        <w:lastRenderedPageBreak/>
        <w:t xml:space="preserve">Art. 15 Fica revogada a Resolução da Diretoria Colegiada  RDC nº  306,  de 14 de novembro de 2002 </w:t>
      </w:r>
    </w:p>
    <w:p w:rsidR="00DA3878" w:rsidRDefault="00DA3878" w:rsidP="00DA3878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Art. 16 Es</w:t>
      </w:r>
      <w:r w:rsidRPr="00DA3878">
        <w:rPr>
          <w:rFonts w:ascii="Times New Roman" w:hAnsi="Times New Roman" w:cs="Times New Roman"/>
          <w:sz w:val="24"/>
          <w:szCs w:val="24"/>
        </w:rPr>
        <w:t xml:space="preserve">ta Resolução entra em vigor </w:t>
      </w:r>
      <w:r w:rsidRPr="00DA387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DA3878">
        <w:rPr>
          <w:rFonts w:ascii="Times New Roman" w:hAnsi="Times New Roman" w:cs="Times New Roman"/>
          <w:sz w:val="24"/>
          <w:szCs w:val="24"/>
        </w:rPr>
        <w:t>na data de sua publicação.</w:t>
      </w:r>
    </w:p>
    <w:p w:rsidR="00DA3878" w:rsidRDefault="00DA3878" w:rsidP="00DA3878">
      <w:pPr>
        <w:spacing w:after="200"/>
        <w:jc w:val="center"/>
      </w:pPr>
      <w:r w:rsidRPr="00DA3878">
        <w:t>CLÁUDIO MAIEROVITCH PESSANHA HENRIQUES</w:t>
      </w:r>
    </w:p>
    <w:p w:rsidR="00DA3878" w:rsidRDefault="00DA3878" w:rsidP="00DA3878">
      <w:pPr>
        <w:spacing w:after="200"/>
        <w:jc w:val="center"/>
      </w:pPr>
    </w:p>
    <w:p w:rsidR="00DA3878" w:rsidRPr="00DA3878" w:rsidRDefault="00DA3878" w:rsidP="00DA3878">
      <w:pPr>
        <w:spacing w:after="200"/>
        <w:jc w:val="center"/>
        <w:rPr>
          <w:b/>
        </w:rPr>
      </w:pPr>
      <w:r w:rsidRPr="00DA3878">
        <w:rPr>
          <w:b/>
        </w:rPr>
        <w:t>ANEXO</w:t>
      </w:r>
    </w:p>
    <w:p w:rsidR="00000000" w:rsidRPr="00DA3878" w:rsidRDefault="00DA3878" w:rsidP="00DA3878">
      <w:pPr>
        <w:spacing w:after="200"/>
        <w:jc w:val="center"/>
        <w:rPr>
          <w:b/>
        </w:rPr>
      </w:pPr>
      <w:r w:rsidRPr="00DA3878">
        <w:rPr>
          <w:b/>
        </w:rPr>
        <w:t>DOCUMENTOS OBRIGATÓRIOS PARA O CUMPRIMENTO DA RDC Nº 305, DE 14  DE NOVEMBRO DE 2002</w:t>
      </w:r>
    </w:p>
    <w:p w:rsidR="00000000" w:rsidRPr="00DA3878" w:rsidRDefault="00DA3878" w:rsidP="00DA3878">
      <w:pPr>
        <w:spacing w:after="200"/>
        <w:jc w:val="both"/>
      </w:pPr>
      <w:r w:rsidRPr="00DA3878">
        <w:t>QUADRO Q1</w:t>
      </w:r>
    </w:p>
    <w:p w:rsidR="00000000" w:rsidRPr="00DA3878" w:rsidRDefault="00DA3878" w:rsidP="00DA3878">
      <w:pPr>
        <w:pStyle w:val="Corpodetexto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Preenchimento :</w:t>
      </w:r>
    </w:p>
    <w:p w:rsidR="00000000" w:rsidRPr="00DA3878" w:rsidRDefault="00DA3878" w:rsidP="00DA3878">
      <w:pPr>
        <w:spacing w:after="200"/>
        <w:jc w:val="both"/>
        <w:rPr>
          <w:b/>
          <w:bCs/>
        </w:rPr>
      </w:pPr>
      <w:r w:rsidRPr="00DA3878">
        <w:rPr>
          <w:b/>
          <w:bCs/>
        </w:rPr>
        <w:t xml:space="preserve">Deverá ser encaminhado um quadro </w:t>
      </w:r>
      <w:r w:rsidRPr="00DA3878">
        <w:rPr>
          <w:b/>
          <w:bCs/>
        </w:rPr>
        <w:t>por forma física/farmacêutica:</w:t>
      </w:r>
    </w:p>
    <w:tbl>
      <w:tblPr>
        <w:tblW w:w="83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10"/>
      </w:tblGrid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rPr>
                <w:rFonts w:eastAsia="Arial Unicode MS"/>
              </w:rPr>
              <w:t>Identificação do produto: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</w:pPr>
            <w:r w:rsidRPr="00DA3878">
              <w:t>Número do lote: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t xml:space="preserve">Nome do Fabricante : 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t xml:space="preserve">Endereço: 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t xml:space="preserve">Cidade: País: 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</w:pPr>
            <w:r w:rsidRPr="00DA3878">
              <w:t>Categoria: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t>(    ) Alimento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t>(    ) Cosmético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t>(    ) Medicamento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t xml:space="preserve">(    ) Produto para Saúde 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t xml:space="preserve">(    ) Produto Acabado (   ) Produto  Semi-Elaborado (   ) Granel (  ) Insumo/Matéria Prima </w:t>
            </w:r>
          </w:p>
        </w:tc>
      </w:tr>
      <w:tr w:rsidR="00000000" w:rsidRPr="00DA3878">
        <w:trPr>
          <w:trHeight w:val="1711"/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</w:pPr>
            <w:r w:rsidRPr="00DA3878">
              <w:t>Finalidade da Importação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t>(     ) Comercialização/Fabricação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t>(     ) Pesquisa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t>(     ) Estudos Para Registro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lastRenderedPageBreak/>
              <w:t>(.....) Amostra Grátis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t>(.....) Doações</w:t>
            </w:r>
          </w:p>
          <w:p w:rsidR="00000000" w:rsidRPr="00DA3878" w:rsidRDefault="00DA3878" w:rsidP="00DA3878">
            <w:pPr>
              <w:spacing w:after="200"/>
              <w:jc w:val="both"/>
            </w:pPr>
            <w:r w:rsidRPr="00DA3878">
              <w:t>(.....) Outros -------------------------------------------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lastRenderedPageBreak/>
              <w:t>quantidade  importada (especificar a unidade métrica internacional)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t xml:space="preserve">Forma física/farmacêutica:  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t>Cuidados de conservação*: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t xml:space="preserve">Data de fabricação:  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</w:pPr>
            <w:r w:rsidRPr="00DA3878">
              <w:t>Prazo de validade: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>Preencher os campos abaixo para cada substância: Repetir tantos campos quantos forem as substâncias: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numPr>
                <w:ilvl w:val="0"/>
                <w:numId w:val="4"/>
              </w:num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>Substância ( a)    ( DCB,DCI,CAS,INCI)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numPr>
                <w:ilvl w:val="0"/>
                <w:numId w:val="4"/>
              </w:num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 xml:space="preserve"> Nome comercial 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numPr>
                <w:ilvl w:val="0"/>
                <w:numId w:val="4"/>
              </w:num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 xml:space="preserve">Sinônimos 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numPr>
                <w:ilvl w:val="0"/>
                <w:numId w:val="4"/>
              </w:num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>Função na fórmula (     ) Princípio Ativo  (   )  Excipiente/Coadjuvante</w:t>
            </w:r>
            <w:r w:rsidRPr="00DA3878">
              <w:rPr>
                <w:b/>
                <w:bCs/>
              </w:rPr>
              <w:t xml:space="preserve"> </w:t>
            </w:r>
          </w:p>
          <w:p w:rsidR="00000000" w:rsidRPr="00DA3878" w:rsidRDefault="00DA3878" w:rsidP="00DA3878">
            <w:pPr>
              <w:spacing w:after="200"/>
              <w:ind w:left="36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 xml:space="preserve"> (   ) Outros --------------------------------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numPr>
                <w:ilvl w:val="0"/>
                <w:numId w:val="4"/>
              </w:num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 xml:space="preserve">Classificação da família (   ) bovino, (   ) caprino,  (  ) suíno (   ) ovino, </w:t>
            </w:r>
          </w:p>
          <w:p w:rsidR="00000000" w:rsidRPr="00DA3878" w:rsidRDefault="00DA3878" w:rsidP="00DA3878">
            <w:pPr>
              <w:spacing w:after="200"/>
              <w:ind w:left="36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>(  ) outros --------------------------------------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numPr>
                <w:ilvl w:val="0"/>
                <w:numId w:val="4"/>
              </w:num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>Tecidos/fluidos e categoria conforme anexo RDC nº 305/02</w:t>
            </w:r>
          </w:p>
          <w:p w:rsidR="00000000" w:rsidRPr="00DA3878" w:rsidRDefault="00DA3878" w:rsidP="00DA3878">
            <w:pPr>
              <w:spacing w:after="200"/>
              <w:jc w:val="both"/>
              <w:rPr>
                <w:b/>
                <w:bCs/>
              </w:rPr>
            </w:pP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numPr>
                <w:ilvl w:val="0"/>
                <w:numId w:val="4"/>
              </w:num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>Nome do fornecedor: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numPr>
                <w:ilvl w:val="0"/>
                <w:numId w:val="4"/>
              </w:num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>País (fornecedor):</w:t>
            </w:r>
          </w:p>
        </w:tc>
      </w:tr>
      <w:tr w:rsidR="00000000" w:rsidRPr="00DA3878">
        <w:trPr>
          <w:tblCellSpacing w:w="0" w:type="dxa"/>
        </w:trPr>
        <w:tc>
          <w:tcPr>
            <w:tcW w:w="83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numPr>
                <w:ilvl w:val="0"/>
                <w:numId w:val="4"/>
              </w:numPr>
              <w:spacing w:after="200"/>
              <w:jc w:val="both"/>
              <w:rPr>
                <w:b/>
                <w:bCs/>
              </w:rPr>
            </w:pPr>
            <w:r w:rsidRPr="00DA3878">
              <w:rPr>
                <w:b/>
                <w:bCs/>
              </w:rPr>
              <w:t>País (origem do tecido/célula):</w:t>
            </w:r>
          </w:p>
        </w:tc>
      </w:tr>
    </w:tbl>
    <w:p w:rsidR="00000000" w:rsidRPr="00DA3878" w:rsidRDefault="00DA3878" w:rsidP="00DA3878">
      <w:pPr>
        <w:spacing w:after="200"/>
        <w:jc w:val="both"/>
      </w:pPr>
    </w:p>
    <w:p w:rsidR="00000000" w:rsidRPr="00DA3878" w:rsidRDefault="00DA3878" w:rsidP="00DA3878">
      <w:pPr>
        <w:spacing w:after="200"/>
        <w:jc w:val="both"/>
        <w:rPr>
          <w:strike/>
        </w:rPr>
      </w:pPr>
      <w:r w:rsidRPr="00DA3878">
        <w:lastRenderedPageBreak/>
        <w:t>* Informações relativas às condições ambientais para manutenção da integridade e qualidade da mercadoria importada (temperatura, umidade, luminosidade e outras julgadas necess</w:t>
      </w:r>
      <w:r w:rsidRPr="00DA3878">
        <w:t>árias).</w:t>
      </w:r>
    </w:p>
    <w:p w:rsidR="00000000" w:rsidRPr="00DA3878" w:rsidRDefault="00DA3878" w:rsidP="00DA3878">
      <w:pPr>
        <w:pStyle w:val="Corpodetexto"/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DA3878">
        <w:rPr>
          <w:rFonts w:ascii="Times New Roman" w:hAnsi="Times New Roman" w:cs="Times New Roman"/>
          <w:sz w:val="24"/>
          <w:szCs w:val="24"/>
        </w:rPr>
        <w:t>a) Ingredientes tais como cápsulas gelatinosas, revestimentos e outras misturas também deverão ter discriminadas as substâncias presentes.</w:t>
      </w:r>
    </w:p>
    <w:p w:rsidR="00000000" w:rsidRPr="00DA3878" w:rsidRDefault="00DA3878" w:rsidP="00DA3878">
      <w:pPr>
        <w:spacing w:after="200"/>
        <w:jc w:val="both"/>
      </w:pPr>
      <w:r w:rsidRPr="00DA3878">
        <w:t>QUADRO Q2</w:t>
      </w:r>
    </w:p>
    <w:p w:rsidR="00000000" w:rsidRPr="00DA3878" w:rsidRDefault="00DA3878" w:rsidP="00DA3878">
      <w:pPr>
        <w:spacing w:after="200"/>
        <w:jc w:val="both"/>
      </w:pPr>
    </w:p>
    <w:tbl>
      <w:tblPr>
        <w:tblW w:w="65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10"/>
      </w:tblGrid>
      <w:tr w:rsidR="00000000" w:rsidRPr="00DA3878">
        <w:trPr>
          <w:tblCellSpacing w:w="0" w:type="dxa"/>
        </w:trPr>
        <w:tc>
          <w:tcPr>
            <w:tcW w:w="65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rPr>
                <w:rFonts w:eastAsia="Arial Unicode MS"/>
              </w:rPr>
              <w:t>Lote:</w:t>
            </w:r>
          </w:p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</w:p>
        </w:tc>
      </w:tr>
      <w:tr w:rsidR="00000000" w:rsidRPr="00DA3878">
        <w:trPr>
          <w:tblCellSpacing w:w="0" w:type="dxa"/>
        </w:trPr>
        <w:tc>
          <w:tcPr>
            <w:tcW w:w="65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</w:pPr>
            <w:r w:rsidRPr="00DA3878">
              <w:t>Identificação da mercadoria (Nome comercial):</w:t>
            </w:r>
          </w:p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</w:p>
        </w:tc>
      </w:tr>
      <w:tr w:rsidR="00000000" w:rsidRPr="00DA3878">
        <w:trPr>
          <w:trHeight w:val="923"/>
          <w:tblCellSpacing w:w="0" w:type="dxa"/>
        </w:trPr>
        <w:tc>
          <w:tcPr>
            <w:tcW w:w="65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</w:pPr>
            <w:r w:rsidRPr="00DA3878">
              <w:t>Identificaçã</w:t>
            </w:r>
            <w:r w:rsidRPr="00DA3878">
              <w:t>o da mercadoria (Nome comum ou nome químico):</w:t>
            </w:r>
          </w:p>
          <w:p w:rsidR="00000000" w:rsidRPr="00DA3878" w:rsidRDefault="00DA3878" w:rsidP="00DA3878">
            <w:pPr>
              <w:spacing w:after="200"/>
              <w:jc w:val="both"/>
            </w:pPr>
          </w:p>
        </w:tc>
      </w:tr>
      <w:tr w:rsidR="00000000" w:rsidRPr="00DA3878">
        <w:trPr>
          <w:tblCellSpacing w:w="0" w:type="dxa"/>
        </w:trPr>
        <w:tc>
          <w:tcPr>
            <w:tcW w:w="65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000000" w:rsidRPr="00DA3878" w:rsidRDefault="00DA3878" w:rsidP="00DA3878">
            <w:pPr>
              <w:spacing w:after="200"/>
              <w:jc w:val="both"/>
            </w:pPr>
            <w:r w:rsidRPr="00DA3878">
              <w:t>Identificação da empresa/ fabricante:</w:t>
            </w:r>
          </w:p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</w:p>
        </w:tc>
      </w:tr>
      <w:tr w:rsidR="00000000" w:rsidRPr="00DA3878">
        <w:trPr>
          <w:tblCellSpacing w:w="0" w:type="dxa"/>
        </w:trPr>
        <w:tc>
          <w:tcPr>
            <w:tcW w:w="6510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  <w:r w:rsidRPr="00DA3878">
              <w:rPr>
                <w:rFonts w:eastAsia="Arial Unicode MS"/>
              </w:rPr>
              <w:t>País de origem (fabricação):</w:t>
            </w:r>
          </w:p>
          <w:p w:rsidR="00000000" w:rsidRPr="00DA3878" w:rsidRDefault="00DA3878" w:rsidP="00DA3878">
            <w:pPr>
              <w:spacing w:after="200"/>
              <w:jc w:val="both"/>
              <w:rPr>
                <w:rFonts w:eastAsia="Arial Unicode MS"/>
              </w:rPr>
            </w:pPr>
          </w:p>
        </w:tc>
      </w:tr>
    </w:tbl>
    <w:p w:rsidR="00000000" w:rsidRPr="00DA3878" w:rsidRDefault="00DA3878" w:rsidP="00DA3878">
      <w:pPr>
        <w:spacing w:after="200"/>
        <w:jc w:val="both"/>
      </w:pPr>
    </w:p>
    <w:p w:rsidR="00DA3878" w:rsidRDefault="00DA3878" w:rsidP="00DA3878">
      <w:pPr>
        <w:spacing w:after="200"/>
        <w:jc w:val="both"/>
      </w:pPr>
      <w:r w:rsidRPr="00DA3878">
        <w:t>OBS: As informações constantes deste quadro deverão ser apresentadas em português, inglês ou espanhol.</w:t>
      </w:r>
    </w:p>
    <w:p w:rsidR="00000000" w:rsidRPr="00DA3878" w:rsidRDefault="00DA3878" w:rsidP="00DA3878">
      <w:pPr>
        <w:spacing w:after="200"/>
        <w:jc w:val="both"/>
      </w:pPr>
      <w:r w:rsidRPr="00DA3878">
        <w:t>QUADRO Q 3</w:t>
      </w:r>
    </w:p>
    <w:p w:rsidR="00000000" w:rsidRPr="00DA3878" w:rsidRDefault="00DA3878" w:rsidP="00DA3878">
      <w:pPr>
        <w:pStyle w:val="NormalWeb"/>
        <w:spacing w:before="0" w:beforeAutospacing="0" w:after="200" w:afterAutospacing="0"/>
        <w:jc w:val="both"/>
        <w:rPr>
          <w:rFonts w:ascii="Times New Roman" w:hAnsi="Times New Roman" w:cs="Times New Roman"/>
        </w:rPr>
      </w:pPr>
      <w:r w:rsidRPr="00DA3878">
        <w:rPr>
          <w:rFonts w:ascii="Times New Roman" w:hAnsi="Times New Roman" w:cs="Times New Roman"/>
        </w:rPr>
        <w:t>A apresentaçã</w:t>
      </w:r>
      <w:r w:rsidRPr="00DA3878">
        <w:rPr>
          <w:rFonts w:ascii="Times New Roman" w:hAnsi="Times New Roman" w:cs="Times New Roman"/>
        </w:rPr>
        <w:t>o de Certificados conforme descrito no quadro Q3, respeitadas as proibições descritas no artigo 1º da RDC nº 305, de 14 de novembro de 2002</w:t>
      </w:r>
    </w:p>
    <w:p w:rsidR="00000000" w:rsidRPr="00DA3878" w:rsidRDefault="00DA3878" w:rsidP="00DA3878">
      <w:pPr>
        <w:pStyle w:val="NormalWeb"/>
        <w:spacing w:before="0" w:beforeAutospacing="0" w:after="200" w:afterAutospacing="0"/>
        <w:jc w:val="both"/>
        <w:rPr>
          <w:rFonts w:ascii="Times New Roman" w:hAnsi="Times New Roman" w:cs="Times New Roman"/>
        </w:rPr>
      </w:pPr>
    </w:p>
    <w:p w:rsidR="00000000" w:rsidRPr="00DA3878" w:rsidRDefault="00DA3878" w:rsidP="00DA3878">
      <w:pPr>
        <w:pStyle w:val="Corpodetexto2"/>
        <w:tabs>
          <w:tab w:val="left" w:pos="4140"/>
          <w:tab w:val="left" w:pos="4320"/>
        </w:tabs>
        <w:spacing w:after="200"/>
        <w:ind w:left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A387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506730</wp:posOffset>
                </wp:positionV>
                <wp:extent cx="0" cy="2057400"/>
                <wp:effectExtent l="57150" t="9525" r="571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84E5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55pt,39.9pt" to="-17.5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">
                <v:stroke endarrow="block"/>
              </v:line>
            </w:pict>
          </mc:Fallback>
        </mc:AlternateContent>
      </w:r>
      <w:r w:rsidRPr="00DA38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552450</wp:posOffset>
                </wp:positionV>
                <wp:extent cx="4572000" cy="0"/>
                <wp:effectExtent l="22860" t="55245" r="5715" b="5905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04902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43.5pt" to="49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">
                <v:stroke endarrow="block"/>
              </v:line>
            </w:pict>
          </mc:Fallback>
        </mc:AlternateContent>
      </w:r>
      <w:r w:rsidRPr="00DA3878">
        <w:rPr>
          <w:rFonts w:ascii="Times New Roman" w:hAnsi="Times New Roman" w:cs="Times New Roman"/>
          <w:b/>
          <w:bCs/>
          <w:color w:val="FF0000"/>
          <w:sz w:val="24"/>
          <w:szCs w:val="24"/>
        </w:rPr>
        <w:object w:dxaOrig="7718" w:dyaOrig="6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403.5pt" o:ole="" fillcolor="window">
            <v:imagedata r:id="rId7" o:title=""/>
          </v:shape>
          <o:OLEObject Type="Embed" ProgID="Excel.Sheet.8" ShapeID="_x0000_i1025" DrawAspect="Content" ObjectID="_1576935371" r:id="rId8"/>
        </w:object>
      </w:r>
    </w:p>
    <w:sectPr w:rsidR="00000000" w:rsidRPr="00DA3878" w:rsidSect="00DA3878">
      <w:headerReference w:type="default" r:id="rId9"/>
      <w:footerReference w:type="default" r:id="rId10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A3878">
      <w:r>
        <w:separator/>
      </w:r>
    </w:p>
  </w:endnote>
  <w:endnote w:type="continuationSeparator" w:id="0">
    <w:p w:rsidR="00000000" w:rsidRDefault="00DA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Pr="00DA3878" w:rsidRDefault="00DA3878" w:rsidP="00DA3878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A3878">
      <w:r>
        <w:separator/>
      </w:r>
    </w:p>
  </w:footnote>
  <w:footnote w:type="continuationSeparator" w:id="0">
    <w:p w:rsidR="00000000" w:rsidRDefault="00DA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878" w:rsidRPr="00B517AC" w:rsidRDefault="00DA3878" w:rsidP="00DA3878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  <w:r w:rsidRPr="00DA3878">
      <w:rPr>
        <w:rFonts w:ascii="Calibri" w:eastAsia="Times New Roman" w:hAnsi="Calibri"/>
        <w:noProof/>
      </w:rPr>
      <w:drawing>
        <wp:inline distT="0" distB="0" distL="0" distR="0">
          <wp:extent cx="657225" cy="647700"/>
          <wp:effectExtent l="0" t="0" r="0" b="0"/>
          <wp:docPr id="5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A3878" w:rsidRPr="00B517AC" w:rsidRDefault="00DA3878" w:rsidP="00DA3878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</w:rPr>
    </w:pPr>
    <w:r w:rsidRPr="00B517AC">
      <w:rPr>
        <w:rFonts w:ascii="Calibri" w:eastAsia="Times New Roman" w:hAnsi="Calibri"/>
        <w:b/>
      </w:rPr>
      <w:t>Ministério da Saúde - MS</w:t>
    </w:r>
  </w:p>
  <w:p w:rsidR="00DA3878" w:rsidRPr="00B517AC" w:rsidRDefault="00DA3878" w:rsidP="00DA3878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</w:rPr>
    </w:pPr>
    <w:r w:rsidRPr="00B517AC">
      <w:rPr>
        <w:rFonts w:ascii="Calibri" w:eastAsia="Times New Roman" w:hAnsi="Calibri"/>
        <w:b/>
      </w:rPr>
      <w:t>Agência Nacional de Vigilância Sanitária - ANVISA</w:t>
    </w:r>
  </w:p>
  <w:p w:rsidR="00DA3878" w:rsidRDefault="00DA38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59AD"/>
    <w:multiLevelType w:val="hybridMultilevel"/>
    <w:tmpl w:val="01B4D7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7B0D1C"/>
    <w:multiLevelType w:val="hybridMultilevel"/>
    <w:tmpl w:val="32E03D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B94C67"/>
    <w:multiLevelType w:val="hybridMultilevel"/>
    <w:tmpl w:val="AAD2EB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9560B"/>
    <w:multiLevelType w:val="hybridMultilevel"/>
    <w:tmpl w:val="7CA431F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78"/>
    <w:rsid w:val="00D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78BF61"/>
  <w14:defaultImageDpi w14:val="0"/>
  <w15:docId w15:val="{DAE58BF8-BAA3-4382-B044-3B0FAB9E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b/>
      <w:bCs/>
      <w:color w:val="FF0000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ind w:left="5220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uiPriority w:val="99"/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Times New Roman" w:hAnsi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9C5F42-90E0-48AE-84F2-738BC2DDF3B5}"/>
</file>

<file path=customXml/itemProps2.xml><?xml version="1.0" encoding="utf-8"?>
<ds:datastoreItem xmlns:ds="http://schemas.openxmlformats.org/officeDocument/2006/customXml" ds:itemID="{51FDCE58-EB47-490D-9BE4-3702006817FF}"/>
</file>

<file path=customXml/itemProps3.xml><?xml version="1.0" encoding="utf-8"?>
<ds:datastoreItem xmlns:ds="http://schemas.openxmlformats.org/officeDocument/2006/customXml" ds:itemID="{1CB0F2B6-FCE8-496F-BD21-7DE5104A41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1489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214, de 30 de julho de 2002(*)</vt:lpstr>
    </vt:vector>
  </TitlesOfParts>
  <Company>anvs</Company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214, de 30 de julho de 2002(*)</dc:title>
  <dc:subject/>
  <dc:creator>Livia.Costa</dc:creator>
  <cp:keywords/>
  <dc:description/>
  <cp:lastModifiedBy>Raianne Liberal Coutinho</cp:lastModifiedBy>
  <cp:revision>2</cp:revision>
  <cp:lastPrinted>2003-03-28T17:40:00Z</cp:lastPrinted>
  <dcterms:created xsi:type="dcterms:W3CDTF">2018-01-08T18:50:00Z</dcterms:created>
  <dcterms:modified xsi:type="dcterms:W3CDTF">2018-01-08T18:50:00Z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