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left="-284" w:right="-285"/>
        <w:jc w:val="center"/>
        <w:rPr>
          <w:rFonts w:ascii="Times New Roman" w:hAnsi="Times New Roman"/>
          <w:b/>
          <w:bCs/>
          <w:color w:val="000000"/>
          <w:sz w:val="23"/>
          <w:szCs w:val="23"/>
          <w:lang w:eastAsia="pt-BR"/>
        </w:rPr>
      </w:pPr>
      <w:bookmarkStart w:id="0" w:name="_GoBack"/>
      <w:bookmarkEnd w:id="0"/>
      <w:r w:rsidRPr="00664176">
        <w:rPr>
          <w:rFonts w:ascii="Times New Roman" w:hAnsi="Times New Roman"/>
          <w:b/>
          <w:bCs/>
          <w:color w:val="000000"/>
          <w:sz w:val="23"/>
          <w:szCs w:val="23"/>
          <w:lang w:eastAsia="pt-BR"/>
        </w:rPr>
        <w:t>RESOLUÇÃO DE DIRETORIA COLEGIADA – RDC N° 72, DE 30 DE MARÇO DE 2016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FF"/>
          <w:sz w:val="24"/>
          <w:szCs w:val="24"/>
          <w:lang w:eastAsia="pt-BR"/>
        </w:rPr>
      </w:pPr>
      <w:r w:rsidRPr="00664176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em DOU nº 62, de 1º de abril de 2016)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Altera a Resolução da Diretoria Colegiada - RDC n.º 23, de 27 de maio de 2011, que dispõe sobre o regulamento técnico para o funcionamento dos Bancos de Células e Tecidos Germinativos e dá outras providências.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A Diretoria Colegiada da Agência Nacional de Vigilância Sanitária, </w:t>
      </w: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no uso da atribuição que lhe conferem o art. 15, III e IV aliado ao art. 7º, III, e IV, da Lei nº 9.782, de 26 de janeiro de 1999, e o art. 53, V, §§ 1º e 3º do Regimento Interno aprovado nos termos do Anexo I da Resolução da Diretoria Colegiada – RDC n° 61, de 3 de fevereiro de 2016, resolve adotar a seguinte Resolução da Diretoria Colegiada, conforme deliberado em reunião realizada em 22 de março de 2016, e eu, Diretor-Presidente, determino a sua publicação.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1º Os arts. 19, 20, 21 e 22 da Resolução da Diretoria Colegiada – RDC no 23, de 2011, passam a vigorar com a seguinte redação: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“Art.19 É candidato à doação de células e tecidos germinativos e embriões o indivíduo que satisfaça pelo menos as seguintes condições: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...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§2º Doadoras de oócito a fresco não são submetidas à quarentena nem à repetição dos testes em prazo de 6 (seis) meses, devendo os resultados dos testes laboratoriais ter prazo máximo de 5 (cinco) dias antes do procedimento da coleta oocitária.”(NR)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...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“Art. 20 Os doadores de sêmen, oócitos e embriões devem ser selecionados com base em sua idade e condição clínica.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...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§3º São critérios de exclusão definitiva de doadores a triagem laboratorial reagente, positiva ou inconclusiva para as seguintes infecções: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I- </w:t>
      </w:r>
      <w:r w:rsidRPr="00664176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Treponema pallidum </w:t>
      </w: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(sífilis);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II- HIV 1;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val="en-US"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val="en-US" w:eastAsia="pt-BR"/>
        </w:rPr>
        <w:t xml:space="preserve">III- HIV 2;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val="en-US"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val="en-US" w:eastAsia="pt-BR"/>
        </w:rPr>
        <w:t xml:space="preserve">IV- HBV;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val="en-US" w:eastAsia="pt-BR"/>
        </w:rPr>
      </w:pPr>
      <w:r w:rsidRPr="00664176">
        <w:rPr>
          <w:rFonts w:ascii="Times New Roman" w:hAnsi="Times New Roman"/>
          <w:color w:val="000000"/>
          <w:sz w:val="24"/>
          <w:szCs w:val="24"/>
          <w:lang w:val="en-US" w:eastAsia="pt-BR"/>
        </w:rPr>
        <w:t xml:space="preserve">V- HCV; </w:t>
      </w:r>
    </w:p>
    <w:p w:rsid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VI- HTLV I e II;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§4º São critérios de exclusão temporária de doadores a triagem laboratorial reagente, positiva ou inconclusiva para as seguintes infecções: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I- vírus Zika;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II- </w:t>
      </w:r>
      <w:r w:rsidRPr="00664176">
        <w:rPr>
          <w:rFonts w:ascii="Times New Roman" w:hAnsi="Times New Roman"/>
          <w:i/>
          <w:iCs/>
          <w:sz w:val="24"/>
          <w:szCs w:val="24"/>
          <w:lang w:eastAsia="pt-BR"/>
        </w:rPr>
        <w:t xml:space="preserve">Chlamydia trachomatis </w:t>
      </w:r>
      <w:r w:rsidRPr="00664176">
        <w:rPr>
          <w:rFonts w:ascii="Times New Roman" w:hAnsi="Times New Roman"/>
          <w:sz w:val="24"/>
          <w:szCs w:val="24"/>
          <w:lang w:eastAsia="pt-BR"/>
        </w:rPr>
        <w:t xml:space="preserve">(clamídia); e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III- </w:t>
      </w:r>
      <w:r w:rsidRPr="00664176">
        <w:rPr>
          <w:rFonts w:ascii="Times New Roman" w:hAnsi="Times New Roman"/>
          <w:i/>
          <w:iCs/>
          <w:sz w:val="24"/>
          <w:szCs w:val="24"/>
          <w:lang w:eastAsia="pt-BR"/>
        </w:rPr>
        <w:t xml:space="preserve">Neisseria gonorrhoeae </w:t>
      </w:r>
      <w:r w:rsidRPr="00664176">
        <w:rPr>
          <w:rFonts w:ascii="Times New Roman" w:hAnsi="Times New Roman"/>
          <w:sz w:val="24"/>
          <w:szCs w:val="24"/>
          <w:lang w:eastAsia="pt-BR"/>
        </w:rPr>
        <w:t xml:space="preserve">(gonorreia).”(NR)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“Art. 21 Para a seleção de doadores e pacientes devem ser realizados testes laboratoriais para: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I- Sífilis;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II- Hepatite B (HBsAg e anti-HBc);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III- Hepatite C (anti-HCV);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IV- HIV 1 e HIV 2;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V- HTLV I e II;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VI- vírus Zika: detecção do anticorpo contra o vírus Zika (IgM).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§1º Para pacientes mulheres, com resultados reagentes ou inconclusivos na triagem sorológica para a detecção do vírus Zika, o BCTG deve: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 – Repetir o teste sorológico (IgM) após 30 dias; ou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II – Realizar teste de biologia molecular para marcadores de infecção do vírus Zika a qualquer momento, de acordo com os protocolos definidos pelo estabelecimento.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§2º Para pacientes homens, com resultados reagentes ou inconclusivos na triagem sorológica para a detecção do vírus Zika, o BCTG deve realizar teste de biologia molecular para marcadores de infecção do vírus Zika em amostras de sêmen a qualquer momento, de acordo com os protocolos definidos pelo estabelecimento.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§3º O BCTG somente poderá coletar gametas ou tecidos germinativos para uso próprio em procedimentos de reprodução humana assistida, após a obtenção de resultados não reagentes ou negativos para o vírus Zika.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§4º Caso algum resultado de triagem laboratorial seja reagente, o BCTG deve comunicar imediatamente ao doador, e encaminhá-lo a um serviço de assistência especializado, para que sejam tomadas as medidas cabíveis.” (NR)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 xml:space="preserve">“Art. 22 Devem ser realizados exames para a detecção de </w:t>
      </w:r>
      <w:r w:rsidRPr="00664176">
        <w:rPr>
          <w:rFonts w:ascii="Times New Roman" w:hAnsi="Times New Roman"/>
          <w:i/>
          <w:iCs/>
          <w:sz w:val="24"/>
          <w:szCs w:val="24"/>
          <w:lang w:eastAsia="pt-BR"/>
        </w:rPr>
        <w:t xml:space="preserve">Chlamydia trachomatis, Neisseria gonorrhoeae </w:t>
      </w:r>
      <w:r w:rsidRPr="00664176">
        <w:rPr>
          <w:rFonts w:ascii="Times New Roman" w:hAnsi="Times New Roman"/>
          <w:sz w:val="24"/>
          <w:szCs w:val="24"/>
          <w:lang w:eastAsia="pt-BR"/>
        </w:rPr>
        <w:t xml:space="preserve">em doadores de sêmen, oócitos e tecidos ovariano e testicular.”(NR) </w:t>
      </w:r>
    </w:p>
    <w:p w:rsidR="00664176" w:rsidRPr="00664176" w:rsidRDefault="00664176" w:rsidP="00664176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lastRenderedPageBreak/>
        <w:t xml:space="preserve">Art. 2º Esta Resolução entra em vigor na data de sua publicação. </w:t>
      </w:r>
    </w:p>
    <w:p w:rsidR="00664176" w:rsidRDefault="00664176" w:rsidP="00664176">
      <w:pPr>
        <w:spacing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654174" w:rsidRPr="00664176" w:rsidRDefault="00664176" w:rsidP="0066417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64176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sectPr w:rsidR="00654174" w:rsidRPr="00664176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D50" w:rsidRDefault="00363D50" w:rsidP="009F315A">
      <w:pPr>
        <w:spacing w:after="0" w:line="240" w:lineRule="auto"/>
      </w:pPr>
      <w:r>
        <w:separator/>
      </w:r>
    </w:p>
  </w:endnote>
  <w:endnote w:type="continuationSeparator" w:id="0">
    <w:p w:rsidR="00363D50" w:rsidRDefault="00363D50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>Este texto não substitui o(s)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D50" w:rsidRDefault="00363D50" w:rsidP="009F315A">
      <w:pPr>
        <w:spacing w:after="0" w:line="240" w:lineRule="auto"/>
      </w:pPr>
      <w:r>
        <w:separator/>
      </w:r>
    </w:p>
  </w:footnote>
  <w:footnote w:type="continuationSeparator" w:id="0">
    <w:p w:rsidR="00363D50" w:rsidRDefault="00363D50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</w:pPr>
    <w:r w:rsidRPr="00A1709B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6448D"/>
    <w:rsid w:val="000073A2"/>
    <w:rsid w:val="00022ADB"/>
    <w:rsid w:val="00052D04"/>
    <w:rsid w:val="00097187"/>
    <w:rsid w:val="000F6277"/>
    <w:rsid w:val="00116985"/>
    <w:rsid w:val="001214A4"/>
    <w:rsid w:val="00125DA6"/>
    <w:rsid w:val="00135130"/>
    <w:rsid w:val="0016487D"/>
    <w:rsid w:val="001D2EF9"/>
    <w:rsid w:val="001E1399"/>
    <w:rsid w:val="002178EA"/>
    <w:rsid w:val="0030331F"/>
    <w:rsid w:val="00311259"/>
    <w:rsid w:val="00330B28"/>
    <w:rsid w:val="00363D50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64176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A1709B"/>
    <w:rsid w:val="00A22ECC"/>
    <w:rsid w:val="00A27FE8"/>
    <w:rsid w:val="00A3177B"/>
    <w:rsid w:val="00A77881"/>
    <w:rsid w:val="00AA042E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729F1"/>
    <w:rsid w:val="00ED5E12"/>
    <w:rsid w:val="00EE1FBD"/>
    <w:rsid w:val="00EE2450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9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3069</Characters>
  <Application>Microsoft Office Word</Application>
  <DocSecurity>0</DocSecurity>
  <Lines>25</Lines>
  <Paragraphs>7</Paragraphs>
  <ScaleCrop>false</ScaleCrop>
  <Company>ANVISA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2016-08-05T14:01:00Z</cp:lastPrinted>
  <dcterms:created xsi:type="dcterms:W3CDTF">2018-08-16T18:53:00Z</dcterms:created>
  <dcterms:modified xsi:type="dcterms:W3CDTF">2018-08-16T18:53:00Z</dcterms:modified>
</cp:coreProperties>
</file>