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181355692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181355692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9B32C3">
      <w:pPr>
        <w:spacing w:before="0" w:beforeAutospacing="0" w:after="0" w:afterAutospacing="0"/>
        <w:jc w:val="center"/>
        <w:divId w:val="1181355693"/>
        <w:rPr>
          <w:rFonts w:eastAsia="Times New Roman"/>
        </w:rPr>
      </w:pPr>
      <w:r w:rsidRPr="009B32C3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181355689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AD790F" w:rsidRDefault="00AD790F">
      <w:pPr>
        <w:spacing w:before="0" w:beforeAutospacing="0" w:after="0" w:afterAutospacing="0"/>
        <w:jc w:val="center"/>
        <w:divId w:val="1181355689"/>
        <w:rPr>
          <w:rStyle w:val="legendab1"/>
          <w:b/>
          <w:bCs/>
        </w:rPr>
      </w:pPr>
    </w:p>
    <w:p w:rsidR="00AD790F" w:rsidRPr="005A0E0D" w:rsidRDefault="00AD790F" w:rsidP="00AD790F">
      <w:pPr>
        <w:pStyle w:val="Ttulo1"/>
        <w:divId w:val="1181355689"/>
      </w:pPr>
      <w:r w:rsidRPr="005A0E0D">
        <w:t>RESOLUÇÃO DA DIRETORIA COLEGIADA - RDC Nº 87 , DE 21 DE NOVEMBRO DE 2008.</w:t>
      </w:r>
    </w:p>
    <w:p w:rsidR="00AD790F" w:rsidRPr="005A0E0D" w:rsidRDefault="00AD790F" w:rsidP="00AD790F">
      <w:pPr>
        <w:ind w:left="4956"/>
        <w:divId w:val="1181355689"/>
        <w:rPr>
          <w:rFonts w:ascii="Arial" w:hAnsi="Arial" w:cs="Arial"/>
          <w:b/>
          <w:bCs/>
          <w:sz w:val="20"/>
          <w:szCs w:val="20"/>
        </w:rPr>
      </w:pPr>
      <w:r w:rsidRPr="005A0E0D">
        <w:rPr>
          <w:rFonts w:ascii="Arial" w:hAnsi="Arial" w:cs="Arial"/>
          <w:b/>
          <w:bCs/>
          <w:sz w:val="20"/>
          <w:szCs w:val="20"/>
        </w:rPr>
        <w:t xml:space="preserve">Altera o Regulamento Técnico sobre  Boas Práticas de Manipulação em Farmácias. </w:t>
      </w:r>
    </w:p>
    <w:p w:rsidR="00AD790F" w:rsidRPr="005A0E0D" w:rsidRDefault="00AD790F" w:rsidP="00AD790F">
      <w:pPr>
        <w:ind w:firstLine="567"/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5A0E0D">
        <w:rPr>
          <w:rFonts w:ascii="Arial" w:hAnsi="Arial" w:cs="Arial"/>
          <w:sz w:val="20"/>
          <w:szCs w:val="2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23 e 28 de outubro de 2008,</w:t>
      </w:r>
    </w:p>
    <w:p w:rsidR="00AD790F" w:rsidRPr="005A0E0D" w:rsidRDefault="00AD790F" w:rsidP="00AD790F">
      <w:pPr>
        <w:ind w:firstLine="567"/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considerando a Resolução - RDC nº. 67, de 8 de outubro de 2007, publicada no DOU de 9 de outubro de 2007, que aprova o Regulamento Técnico sobre Boas Práticas de Manipulação de Preparações Magistrais e Oficinais para Uso Humano em farmácias e seus Anexos.</w:t>
      </w:r>
    </w:p>
    <w:p w:rsidR="00AD790F" w:rsidRPr="005A0E0D" w:rsidRDefault="00AD790F" w:rsidP="00AD790F">
      <w:pPr>
        <w:ind w:firstLine="567"/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adota a seguinte Resolução da Diretoria Colegiada e eu, Diretor-Presidente, determino a sua publicação:</w:t>
      </w:r>
    </w:p>
    <w:p w:rsidR="00AD790F" w:rsidRPr="005A0E0D" w:rsidRDefault="00AD790F" w:rsidP="00AD790F">
      <w:pPr>
        <w:ind w:firstLine="567"/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Art. 1º Os itens 5.17, 5.17.1 e 5.17.2 do Anexo da  Resolução - RDC nº. 67, de 2007, passam a vigorar com a seguinte redação:</w:t>
      </w:r>
    </w:p>
    <w:p w:rsidR="00AD790F" w:rsidRPr="005A0E0D" w:rsidRDefault="00AD790F" w:rsidP="00AD790F">
      <w:pPr>
        <w:pStyle w:val="Ttulo2"/>
        <w:divId w:val="1181355689"/>
        <w:rPr>
          <w:b w:val="0"/>
          <w:bCs w:val="0"/>
          <w:color w:val="auto"/>
          <w:sz w:val="20"/>
          <w:szCs w:val="20"/>
        </w:rPr>
      </w:pPr>
      <w:r w:rsidRPr="005A0E0D">
        <w:rPr>
          <w:b w:val="0"/>
          <w:bCs w:val="0"/>
          <w:color w:val="auto"/>
          <w:sz w:val="20"/>
          <w:szCs w:val="20"/>
        </w:rPr>
        <w:t>“ANEXO</w:t>
      </w:r>
    </w:p>
    <w:p w:rsidR="00AD790F" w:rsidRPr="005A0E0D" w:rsidRDefault="00AD790F" w:rsidP="00AD790F">
      <w:pPr>
        <w:jc w:val="center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REGULAMENTO TÉCNICO QUE INSTITUI AS BOAS PRÁTICAS DE MANIPULAÇÃO EM FARMÁCIAS (BPMF)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5. CONDIÇÕES GERAIS.....................................................................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i/>
          <w:iCs/>
          <w:sz w:val="20"/>
          <w:szCs w:val="20"/>
        </w:rPr>
      </w:pPr>
      <w:r w:rsidRPr="005A0E0D">
        <w:rPr>
          <w:rFonts w:ascii="Arial" w:hAnsi="Arial" w:cs="Arial"/>
          <w:i/>
          <w:iCs/>
          <w:sz w:val="20"/>
          <w:szCs w:val="20"/>
        </w:rPr>
        <w:t xml:space="preserve">.................................................................................................................................................... 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i/>
          <w:iCs/>
          <w:sz w:val="20"/>
          <w:szCs w:val="20"/>
        </w:rPr>
      </w:pPr>
      <w:r w:rsidRPr="005A0E0D">
        <w:rPr>
          <w:rFonts w:ascii="Arial" w:hAnsi="Arial" w:cs="Arial"/>
          <w:i/>
          <w:iCs/>
          <w:sz w:val="20"/>
          <w:szCs w:val="20"/>
        </w:rPr>
        <w:t xml:space="preserve">5.17. Prescrição de </w:t>
      </w:r>
      <w:r w:rsidRPr="005A0E0D">
        <w:rPr>
          <w:rFonts w:ascii="Arial" w:hAnsi="Arial" w:cs="Arial"/>
          <w:i/>
          <w:iCs/>
          <w:sz w:val="20"/>
          <w:szCs w:val="20"/>
          <w:u w:val="single"/>
        </w:rPr>
        <w:t>preparações magistrais</w:t>
      </w:r>
      <w:r w:rsidRPr="005A0E0D">
        <w:rPr>
          <w:rFonts w:ascii="Arial" w:hAnsi="Arial" w:cs="Arial"/>
          <w:i/>
          <w:iCs/>
          <w:sz w:val="20"/>
          <w:szCs w:val="20"/>
        </w:rPr>
        <w:t>.”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i/>
          <w:iCs/>
          <w:sz w:val="20"/>
          <w:szCs w:val="20"/>
        </w:rPr>
      </w:pPr>
      <w:r w:rsidRPr="005A0E0D">
        <w:rPr>
          <w:rFonts w:ascii="Arial" w:hAnsi="Arial" w:cs="Arial"/>
          <w:i/>
          <w:iCs/>
          <w:sz w:val="20"/>
          <w:szCs w:val="20"/>
        </w:rPr>
        <w:t xml:space="preserve">5.17.1. Os profissionais legalmente habilitados, respeitando os códigos de seus respectivos conselhos profissionais, são os responsáveis pela prescrição das </w:t>
      </w:r>
      <w:r w:rsidRPr="005A0E0D">
        <w:rPr>
          <w:rFonts w:ascii="Arial" w:hAnsi="Arial" w:cs="Arial"/>
          <w:i/>
          <w:iCs/>
          <w:sz w:val="20"/>
          <w:szCs w:val="20"/>
          <w:u w:val="single"/>
        </w:rPr>
        <w:t>preparações magistrais</w:t>
      </w:r>
      <w:r w:rsidRPr="005A0E0D">
        <w:rPr>
          <w:rFonts w:ascii="Arial" w:hAnsi="Arial" w:cs="Arial"/>
          <w:i/>
          <w:iCs/>
          <w:sz w:val="20"/>
          <w:szCs w:val="20"/>
        </w:rPr>
        <w:t xml:space="preserve"> de que trata este Regulamento Técnico e seus Anexos.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i/>
          <w:iCs/>
          <w:sz w:val="20"/>
          <w:szCs w:val="20"/>
        </w:rPr>
      </w:pPr>
      <w:r w:rsidRPr="005A0E0D">
        <w:rPr>
          <w:rFonts w:ascii="Arial" w:hAnsi="Arial" w:cs="Arial"/>
          <w:i/>
          <w:iCs/>
          <w:sz w:val="20"/>
          <w:szCs w:val="20"/>
        </w:rPr>
        <w:lastRenderedPageBreak/>
        <w:t xml:space="preserve">5.17.2 </w:t>
      </w:r>
      <w:r w:rsidRPr="005A0E0D">
        <w:rPr>
          <w:rFonts w:ascii="Arial" w:hAnsi="Arial" w:cs="Arial"/>
          <w:i/>
          <w:iCs/>
          <w:sz w:val="20"/>
          <w:szCs w:val="20"/>
          <w:u w:val="single"/>
        </w:rPr>
        <w:t>A prescrição ou indicação, quando realizada pelo farmacêutico responsável, também deve obedecer aos  critérios éticos e legais previstos</w:t>
      </w:r>
      <w:r w:rsidRPr="005A0E0D">
        <w:rPr>
          <w:rFonts w:ascii="Arial" w:hAnsi="Arial" w:cs="Arial"/>
          <w:i/>
          <w:iCs/>
          <w:sz w:val="20"/>
          <w:szCs w:val="20"/>
        </w:rPr>
        <w:t>.”(NR)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.............................................................................................................................................................................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Art. 2º. Incluir o item 5.17.5.1 no anexo da Resolução - RDC nº. 67, de 2007, com a seguinte redação :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i/>
          <w:iCs/>
          <w:sz w:val="20"/>
          <w:szCs w:val="20"/>
          <w:u w:val="single"/>
        </w:rPr>
      </w:pPr>
      <w:r w:rsidRPr="005A0E0D">
        <w:rPr>
          <w:rFonts w:ascii="Arial" w:hAnsi="Arial" w:cs="Arial"/>
          <w:i/>
          <w:iCs/>
          <w:sz w:val="20"/>
          <w:szCs w:val="20"/>
        </w:rPr>
        <w:t xml:space="preserve">“5.17.5.1 </w:t>
      </w:r>
      <w:r w:rsidRPr="005A0E0D">
        <w:rPr>
          <w:rFonts w:ascii="Arial" w:hAnsi="Arial" w:cs="Arial"/>
          <w:i/>
          <w:iCs/>
          <w:sz w:val="20"/>
          <w:szCs w:val="20"/>
          <w:u w:val="single"/>
        </w:rPr>
        <w:t>Na ausência de indicação na prescrição sobre a duração de tratamento, o farmacêutico só poderá efetuar a repetição da receita, após confirmação expressa do profissional prescritor. Manter os registros destas confirmações, datados e assinados pelo farmacêutico responsável.”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 xml:space="preserve">Art. 3º  Os itens 7.3.13, 8.2, 9.1.1, 9.2.3.1, 9.2.4  e 11.2.4 do Anexo I da Resolução – RDC nº 67, de 2007, passam a vigorar com a seguinte redação: </w:t>
      </w:r>
    </w:p>
    <w:p w:rsidR="00AD790F" w:rsidRPr="005A0E0D" w:rsidRDefault="00AD790F" w:rsidP="00AD790F">
      <w:pPr>
        <w:jc w:val="center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“ANEXO I</w:t>
      </w:r>
    </w:p>
    <w:p w:rsidR="00AD790F" w:rsidRPr="005A0E0D" w:rsidRDefault="00AD790F" w:rsidP="00AD790F">
      <w:pPr>
        <w:jc w:val="center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BOAS PRÁTICAS  DE MANIPULAÇÃO EM FARMÁCIAS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7. MATÉRIAS-PRIMAS E MATERIAIS DE EMBALAGEM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i/>
          <w:iCs/>
          <w:sz w:val="20"/>
          <w:szCs w:val="20"/>
        </w:rPr>
        <w:t xml:space="preserve">7.3.13. Devem ser realizados, nas matérias-primas de origem vegetal, os testes para determinação dos caracteres organolépticos, determinação de materiais estranhos, pesquisas de contaminação microbiológica (contagem total, fungos e leveduras), umidade e determinação de cinzas totais. E ainda, </w:t>
      </w:r>
      <w:r w:rsidRPr="005A0E0D">
        <w:rPr>
          <w:rFonts w:ascii="Arial" w:hAnsi="Arial" w:cs="Arial"/>
          <w:i/>
          <w:iCs/>
          <w:sz w:val="20"/>
          <w:szCs w:val="20"/>
          <w:u w:val="single"/>
        </w:rPr>
        <w:t>quando aplicáveis</w:t>
      </w:r>
      <w:r w:rsidRPr="005A0E0D">
        <w:rPr>
          <w:rFonts w:ascii="Arial" w:hAnsi="Arial" w:cs="Arial"/>
          <w:i/>
          <w:iCs/>
          <w:sz w:val="20"/>
          <w:szCs w:val="20"/>
        </w:rPr>
        <w:t>, avaliação dos caracteres macroscópicos para plantas íntegras ou grosseiramente rasuradas; caracteres microscópicos para materiais fragmentados ou pó. Para as matérias-primas líquidas de origem vegetal, além dos testes mencionados (quando aplicáveis), deve ser realizada a determinação da densidade.” (NR)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</w:t>
      </w:r>
      <w:r w:rsidRPr="005A0E0D">
        <w:rPr>
          <w:rFonts w:ascii="Arial" w:hAnsi="Arial" w:cs="Arial"/>
          <w:i/>
          <w:iCs/>
          <w:sz w:val="20"/>
          <w:szCs w:val="20"/>
        </w:rPr>
        <w:t xml:space="preserve"> 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8. MANIPULAÇÃO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.............................................................................................................................................................................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i/>
          <w:iCs/>
          <w:sz w:val="20"/>
          <w:szCs w:val="20"/>
        </w:rPr>
        <w:t>8.2. Os excipientes utilizados na manipulação de medicamentos devem ser padronizados pela farmácia de acordo com embasamento técnico.”(NR)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.............................................................................................................................................................................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9. DOS CONTROLES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.............................................................................................................................................................................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i/>
          <w:iCs/>
          <w:sz w:val="20"/>
          <w:szCs w:val="20"/>
        </w:rPr>
      </w:pPr>
      <w:r w:rsidRPr="005A0E0D">
        <w:rPr>
          <w:rFonts w:ascii="Arial" w:hAnsi="Arial" w:cs="Arial"/>
          <w:i/>
          <w:iCs/>
          <w:sz w:val="20"/>
          <w:szCs w:val="20"/>
        </w:rPr>
        <w:lastRenderedPageBreak/>
        <w:t xml:space="preserve">9.1.1. Devem ser realizados, no mínimo, os seguintes ensaios, de acordo com a Farmacopéia Brasileira ou outro Compêndio Oficial reconhecido pela ANVISA, em todas as preparações magistrais e oficinais:  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86"/>
        <w:gridCol w:w="3718"/>
      </w:tblGrid>
      <w:tr w:rsidR="00AD790F" w:rsidRPr="005A0E0D" w:rsidTr="00AD790F">
        <w:trPr>
          <w:divId w:val="1181355689"/>
          <w:jc w:val="center"/>
        </w:trPr>
        <w:tc>
          <w:tcPr>
            <w:tcW w:w="30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790F" w:rsidRPr="005A0E0D" w:rsidRDefault="00AD790F" w:rsidP="00AD790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Preparações</w:t>
            </w:r>
          </w:p>
        </w:tc>
        <w:tc>
          <w:tcPr>
            <w:tcW w:w="3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D790F" w:rsidRPr="005A0E0D" w:rsidRDefault="00AD790F" w:rsidP="00AD790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Ensaios</w:t>
            </w:r>
          </w:p>
        </w:tc>
      </w:tr>
      <w:tr w:rsidR="00AD790F" w:rsidRPr="005A0E0D" w:rsidTr="00AD790F">
        <w:trPr>
          <w:divId w:val="1181355689"/>
          <w:jc w:val="center"/>
        </w:trPr>
        <w:tc>
          <w:tcPr>
            <w:tcW w:w="30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790F" w:rsidRPr="005A0E0D" w:rsidRDefault="00AD790F" w:rsidP="00AD790F">
            <w:pPr>
              <w:pStyle w:val="Ttulo3"/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5A0E0D">
              <w:rPr>
                <w:rFonts w:ascii="Arial" w:hAnsi="Arial" w:cs="Arial"/>
                <w:sz w:val="20"/>
                <w:szCs w:val="20"/>
              </w:rPr>
              <w:t>Sólidas</w:t>
            </w:r>
          </w:p>
        </w:tc>
        <w:tc>
          <w:tcPr>
            <w:tcW w:w="3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D790F" w:rsidRPr="005A0E0D" w:rsidRDefault="00AD790F" w:rsidP="00AD790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Descrição, aspecto, caracteres organolépticos, peso médio.</w:t>
            </w:r>
          </w:p>
        </w:tc>
      </w:tr>
      <w:tr w:rsidR="00AD790F" w:rsidRPr="005A0E0D" w:rsidTr="00AD790F">
        <w:trPr>
          <w:divId w:val="1181355689"/>
          <w:jc w:val="center"/>
        </w:trPr>
        <w:tc>
          <w:tcPr>
            <w:tcW w:w="30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790F" w:rsidRPr="005A0E0D" w:rsidRDefault="00AD790F" w:rsidP="00AD790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Semi-sólidas</w:t>
            </w:r>
          </w:p>
        </w:tc>
        <w:tc>
          <w:tcPr>
            <w:tcW w:w="3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D790F" w:rsidRPr="005A0E0D" w:rsidRDefault="00AD790F" w:rsidP="00AD790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Descrição, aspecto, caracteres organolépticos, pH (quando aplicável), peso.</w:t>
            </w:r>
          </w:p>
        </w:tc>
      </w:tr>
      <w:tr w:rsidR="00AD790F" w:rsidRPr="005A0E0D" w:rsidTr="00AD790F">
        <w:trPr>
          <w:divId w:val="1181355689"/>
          <w:jc w:val="center"/>
        </w:trPr>
        <w:tc>
          <w:tcPr>
            <w:tcW w:w="30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790F" w:rsidRPr="005A0E0D" w:rsidRDefault="00AD790F" w:rsidP="00AD790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Líquidas não-estéreis</w:t>
            </w:r>
          </w:p>
        </w:tc>
        <w:tc>
          <w:tcPr>
            <w:tcW w:w="3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D790F" w:rsidRPr="005A0E0D" w:rsidRDefault="00AD790F" w:rsidP="00AD790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Descrição, aspecto, caracteres organolépticos, pH(</w:t>
            </w:r>
            <w:r w:rsidRPr="005A0E0D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quando aplicável</w:t>
            </w: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), peso ou volume antes do envase.</w:t>
            </w:r>
          </w:p>
        </w:tc>
      </w:tr>
    </w:tbl>
    <w:p w:rsidR="00AD790F" w:rsidRPr="005A0E0D" w:rsidRDefault="00AD790F" w:rsidP="00AD790F">
      <w:pPr>
        <w:jc w:val="right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(NR)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9.2.3.1. A farmácia deve realizar a análise de no mínimo uma fórmula a cada dois meses. O número de unidades para compor a amostra deve ser suficiente para a realização das análises de que trata o item 9.2.3.” (NR)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9.2.4. As análises das fórmulas devem ser realizadas em laboratório analítico próprio ou terceirizado (preferencialmente da Rede Brasileira de Laboratórios em Saúde - REBLAS).” (NR)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.............................................................................................................................................................................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11. CONTROLE DE QUALIDADE DO ESTOQUE MÍNIMO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....................................................................................................................................................................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i/>
          <w:iCs/>
          <w:sz w:val="20"/>
          <w:szCs w:val="20"/>
        </w:rPr>
      </w:pPr>
      <w:r w:rsidRPr="005A0E0D">
        <w:rPr>
          <w:rFonts w:ascii="Arial" w:hAnsi="Arial" w:cs="Arial"/>
          <w:i/>
          <w:iCs/>
          <w:sz w:val="20"/>
          <w:szCs w:val="20"/>
        </w:rPr>
        <w:t xml:space="preserve">11.2.4. No caso das bases galênicas, a avaliação da pureza microbiológica (letra “j” do item 11.2) poderá ser realizada por meio de monitoramento. Este monitoramento consiste na realização de análise mensal de pelo menos uma base </w:t>
      </w:r>
      <w:r w:rsidRPr="005A0E0D">
        <w:rPr>
          <w:rFonts w:ascii="Arial" w:hAnsi="Arial" w:cs="Arial"/>
          <w:i/>
          <w:iCs/>
          <w:sz w:val="20"/>
          <w:szCs w:val="20"/>
          <w:u w:val="single"/>
        </w:rPr>
        <w:t>ou produto acabado que fora feito a partir de base galênica</w:t>
      </w:r>
      <w:r w:rsidRPr="005A0E0D">
        <w:rPr>
          <w:rFonts w:ascii="Arial" w:hAnsi="Arial" w:cs="Arial"/>
          <w:i/>
          <w:iCs/>
          <w:sz w:val="20"/>
          <w:szCs w:val="20"/>
        </w:rPr>
        <w:t>, devendo ser adotado sistema de rodízio considerando o tipo de base</w:t>
      </w:r>
      <w:r w:rsidRPr="005A0E0D">
        <w:rPr>
          <w:rFonts w:ascii="Arial" w:hAnsi="Arial" w:cs="Arial"/>
          <w:i/>
          <w:iCs/>
          <w:sz w:val="20"/>
          <w:szCs w:val="20"/>
          <w:u w:val="single"/>
        </w:rPr>
        <w:t>, produto</w:t>
      </w:r>
      <w:r w:rsidRPr="005A0E0D">
        <w:rPr>
          <w:rFonts w:ascii="Arial" w:hAnsi="Arial" w:cs="Arial"/>
          <w:i/>
          <w:iCs/>
          <w:sz w:val="20"/>
          <w:szCs w:val="20"/>
        </w:rPr>
        <w:t xml:space="preserve"> e manipulador.”(NR)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i/>
          <w:iCs/>
          <w:sz w:val="20"/>
          <w:szCs w:val="20"/>
          <w:u w:val="single"/>
        </w:rPr>
      </w:pPr>
      <w:r w:rsidRPr="005A0E0D">
        <w:rPr>
          <w:rFonts w:ascii="Arial" w:hAnsi="Arial" w:cs="Arial"/>
          <w:i/>
          <w:iCs/>
          <w:sz w:val="20"/>
          <w:szCs w:val="20"/>
        </w:rPr>
        <w:t>............................................. .............................................................................................................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Art. 4º. O item 2.16.1, do Anexo III, da Resolução - RDC nº. 67, de 2007, passa a vigorar com a seguinte redação:</w:t>
      </w:r>
    </w:p>
    <w:p w:rsidR="00AD790F" w:rsidRPr="005A0E0D" w:rsidRDefault="00AD790F" w:rsidP="00AD790F">
      <w:pPr>
        <w:jc w:val="center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“ANEXO III</w:t>
      </w:r>
    </w:p>
    <w:p w:rsidR="00AD790F" w:rsidRPr="005A0E0D" w:rsidRDefault="00AD790F" w:rsidP="00AD790F">
      <w:pPr>
        <w:jc w:val="center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BOAS PRÁTICAS DE MANIPULAÇÃO DE HORMÕNIOS, ANTIBIÓTICOS, CITOSTÁTICOS E SUBSTÂNCIAS SUJEITAS A CONTROLE ESPECIAL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..........................................................................................................................................................................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2. CONDIÇÕES GERAIS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lastRenderedPageBreak/>
        <w:t>.........................................................................................................................................................................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i/>
          <w:iCs/>
          <w:sz w:val="20"/>
          <w:szCs w:val="20"/>
        </w:rPr>
      </w:pPr>
      <w:r w:rsidRPr="005A0E0D">
        <w:rPr>
          <w:rFonts w:ascii="Arial" w:hAnsi="Arial" w:cs="Arial"/>
          <w:i/>
          <w:iCs/>
          <w:sz w:val="20"/>
          <w:szCs w:val="20"/>
        </w:rPr>
        <w:t>2.16.1. O monitoramento deve ser realizado por estabelecimento, de forma a serem analisadas no mínimo uma amostra a cada três meses de uma das classes terapêuticas elencadas no item 2.16.”(NR)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i/>
          <w:iCs/>
          <w:sz w:val="20"/>
          <w:szCs w:val="20"/>
        </w:rPr>
      </w:pPr>
      <w:r w:rsidRPr="005A0E0D">
        <w:rPr>
          <w:rFonts w:ascii="Arial" w:hAnsi="Arial" w:cs="Arial"/>
          <w:i/>
          <w:iCs/>
          <w:sz w:val="20"/>
          <w:szCs w:val="20"/>
        </w:rPr>
        <w:t>...............................................................................................................................................................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 xml:space="preserve">Art. 5º Alterar os itens 10.2.2, 11.6.6. 14.3 e 17.32.1 do Anexo VII da Resolução – RDC nº 67, de 2007, que passam a vigorar com a seguinte redação: </w:t>
      </w:r>
    </w:p>
    <w:p w:rsidR="00AD790F" w:rsidRPr="005A0E0D" w:rsidRDefault="00AD790F" w:rsidP="00AD790F">
      <w:pPr>
        <w:jc w:val="center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“ANEXO VII</w:t>
      </w:r>
    </w:p>
    <w:p w:rsidR="00AD790F" w:rsidRPr="005A0E0D" w:rsidRDefault="00AD790F" w:rsidP="00AD790F">
      <w:pPr>
        <w:jc w:val="center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ROTEIRO DE INSPEÇÃO PARA FARMÁCIA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</w:t>
      </w:r>
    </w:p>
    <w:tbl>
      <w:tblPr>
        <w:tblW w:w="68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4"/>
      </w:tblGrid>
      <w:tr w:rsidR="00AD790F" w:rsidRPr="005A0E0D" w:rsidTr="00AD790F">
        <w:trPr>
          <w:divId w:val="1181355689"/>
          <w:cantSplit/>
        </w:trPr>
        <w:tc>
          <w:tcPr>
            <w:tcW w:w="5000" w:type="pct"/>
            <w:tcBorders>
              <w:top w:val="outset" w:sz="6" w:space="0" w:color="auto"/>
              <w:bottom w:val="outset" w:sz="6" w:space="0" w:color="auto"/>
            </w:tcBorders>
          </w:tcPr>
          <w:p w:rsidR="00AD790F" w:rsidRPr="005A0E0D" w:rsidRDefault="00AD790F" w:rsidP="00AD790F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10. DOS CONTROLES</w:t>
            </w:r>
          </w:p>
        </w:tc>
      </w:tr>
    </w:tbl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</w:t>
      </w:r>
    </w:p>
    <w:tbl>
      <w:tblPr>
        <w:tblW w:w="68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5"/>
        <w:gridCol w:w="520"/>
        <w:gridCol w:w="3960"/>
        <w:gridCol w:w="540"/>
        <w:gridCol w:w="489"/>
      </w:tblGrid>
      <w:tr w:rsidR="00AD790F" w:rsidRPr="005A0E0D" w:rsidTr="00AD790F">
        <w:trPr>
          <w:divId w:val="1181355689"/>
        </w:trPr>
        <w:tc>
          <w:tcPr>
            <w:tcW w:w="952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90F" w:rsidRPr="005A0E0D" w:rsidRDefault="00AD790F" w:rsidP="00AD790F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10.2.2.</w:t>
            </w:r>
          </w:p>
        </w:tc>
        <w:tc>
          <w:tcPr>
            <w:tcW w:w="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90F" w:rsidRPr="005A0E0D" w:rsidRDefault="00AD790F" w:rsidP="00AD790F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N </w:t>
            </w:r>
          </w:p>
        </w:tc>
        <w:tc>
          <w:tcPr>
            <w:tcW w:w="2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90F" w:rsidRPr="005A0E0D" w:rsidRDefault="00AD790F" w:rsidP="00AD790F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É realizado o monitoramento do processo, conforme estabelecido no item 9.2.3 e 9.2.3.1 do Anexo I ?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90F" w:rsidRPr="005A0E0D" w:rsidRDefault="00AD790F" w:rsidP="00AD790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SIM</w:t>
            </w: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AD790F" w:rsidRPr="005A0E0D" w:rsidRDefault="00AD790F" w:rsidP="00AD790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NÃO</w:t>
            </w:r>
          </w:p>
        </w:tc>
      </w:tr>
    </w:tbl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(NR)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</w:t>
      </w:r>
    </w:p>
    <w:tbl>
      <w:tblPr>
        <w:tblW w:w="6804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4"/>
      </w:tblGrid>
      <w:tr w:rsidR="00AD790F" w:rsidRPr="005A0E0D" w:rsidTr="00AD790F">
        <w:trPr>
          <w:divId w:val="1181355689"/>
          <w:cantSplit/>
        </w:trPr>
        <w:tc>
          <w:tcPr>
            <w:tcW w:w="5000" w:type="pct"/>
            <w:tcBorders>
              <w:top w:val="outset" w:sz="6" w:space="0" w:color="auto"/>
              <w:bottom w:val="outset" w:sz="6" w:space="0" w:color="auto"/>
            </w:tcBorders>
          </w:tcPr>
          <w:p w:rsidR="00AD790F" w:rsidRPr="005A0E0D" w:rsidRDefault="00AD790F" w:rsidP="00AD790F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11.MANIPULAÇÃO DO ESTOQUE MÍNIMO</w:t>
            </w:r>
          </w:p>
        </w:tc>
      </w:tr>
    </w:tbl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</w:t>
      </w:r>
    </w:p>
    <w:tbl>
      <w:tblPr>
        <w:tblW w:w="68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9"/>
        <w:gridCol w:w="539"/>
        <w:gridCol w:w="3929"/>
        <w:gridCol w:w="535"/>
        <w:gridCol w:w="532"/>
      </w:tblGrid>
      <w:tr w:rsidR="00AD790F" w:rsidRPr="005A0E0D" w:rsidTr="00AD790F">
        <w:trPr>
          <w:divId w:val="1181355689"/>
        </w:trPr>
        <w:tc>
          <w:tcPr>
            <w:tcW w:w="93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90F" w:rsidRPr="005A0E0D" w:rsidRDefault="00AD790F" w:rsidP="00AD790F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11.6.6.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90F" w:rsidRPr="005A0E0D" w:rsidRDefault="00AD790F" w:rsidP="00AD790F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N </w:t>
            </w:r>
          </w:p>
        </w:tc>
        <w:tc>
          <w:tcPr>
            <w:tcW w:w="2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90F" w:rsidRPr="005A0E0D" w:rsidRDefault="00AD790F" w:rsidP="00AD790F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No caso das bases galênicas e de produtos acabados, é realizado o monitoramento mensal da pureza microbiológica e adotado sistema de rodízio considerando o tipo de base, produto e manipulador ?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90F" w:rsidRPr="005A0E0D" w:rsidRDefault="00AD790F" w:rsidP="00AD790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SIM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AD790F" w:rsidRPr="005A0E0D" w:rsidRDefault="00AD790F" w:rsidP="00AD790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NÃO</w:t>
            </w:r>
          </w:p>
        </w:tc>
      </w:tr>
    </w:tbl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(NR)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</w:t>
      </w:r>
    </w:p>
    <w:tbl>
      <w:tblPr>
        <w:tblW w:w="6804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4"/>
      </w:tblGrid>
      <w:tr w:rsidR="00AD790F" w:rsidRPr="005A0E0D" w:rsidTr="00AD790F">
        <w:trPr>
          <w:divId w:val="1181355689"/>
          <w:cantSplit/>
        </w:trPr>
        <w:tc>
          <w:tcPr>
            <w:tcW w:w="5000" w:type="pct"/>
            <w:tcBorders>
              <w:top w:val="outset" w:sz="6" w:space="0" w:color="auto"/>
              <w:bottom w:val="outset" w:sz="6" w:space="0" w:color="auto"/>
            </w:tcBorders>
          </w:tcPr>
          <w:p w:rsidR="00AD790F" w:rsidRPr="005A0E0D" w:rsidRDefault="00AD790F" w:rsidP="00AD790F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14. DISPENSAÇÃO</w:t>
            </w:r>
          </w:p>
        </w:tc>
      </w:tr>
    </w:tbl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lastRenderedPageBreak/>
        <w:t>............................................................................................................................................................</w:t>
      </w:r>
    </w:p>
    <w:tbl>
      <w:tblPr>
        <w:tblW w:w="6804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50"/>
        <w:gridCol w:w="542"/>
        <w:gridCol w:w="3938"/>
        <w:gridCol w:w="538"/>
        <w:gridCol w:w="536"/>
      </w:tblGrid>
      <w:tr w:rsidR="00AD790F" w:rsidRPr="005A0E0D" w:rsidTr="00AD790F">
        <w:trPr>
          <w:divId w:val="1181355689"/>
        </w:trPr>
        <w:tc>
          <w:tcPr>
            <w:tcW w:w="919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90F" w:rsidRPr="005A0E0D" w:rsidRDefault="00AD790F" w:rsidP="00AD790F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14.3 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90F" w:rsidRPr="005A0E0D" w:rsidRDefault="00AD790F" w:rsidP="00AD790F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</w:p>
        </w:tc>
        <w:tc>
          <w:tcPr>
            <w:tcW w:w="2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90F" w:rsidRPr="005A0E0D" w:rsidRDefault="00AD790F" w:rsidP="00AD790F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A repetição de atendimento de uma mesma receita somente ocorre se houver indicação ou confirmação expressa do prescritor quanto à duração do tratamento?</w:t>
            </w:r>
          </w:p>
        </w:tc>
        <w:tc>
          <w:tcPr>
            <w:tcW w:w="3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90F" w:rsidRPr="005A0E0D" w:rsidRDefault="00AD790F" w:rsidP="00AD790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SIM</w:t>
            </w:r>
          </w:p>
        </w:tc>
        <w:tc>
          <w:tcPr>
            <w:tcW w:w="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AD790F" w:rsidRPr="005A0E0D" w:rsidRDefault="00AD790F" w:rsidP="00AD790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NÃO</w:t>
            </w:r>
          </w:p>
        </w:tc>
      </w:tr>
    </w:tbl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(NR)</w:t>
      </w:r>
    </w:p>
    <w:tbl>
      <w:tblPr>
        <w:tblW w:w="6804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4"/>
      </w:tblGrid>
      <w:tr w:rsidR="00AD790F" w:rsidRPr="005A0E0D" w:rsidTr="00AD790F">
        <w:trPr>
          <w:divId w:val="1181355689"/>
          <w:cantSplit/>
        </w:trPr>
        <w:tc>
          <w:tcPr>
            <w:tcW w:w="5000" w:type="pct"/>
            <w:tcBorders>
              <w:top w:val="outset" w:sz="6" w:space="0" w:color="auto"/>
              <w:bottom w:val="outset" w:sz="6" w:space="0" w:color="auto"/>
            </w:tcBorders>
          </w:tcPr>
          <w:p w:rsidR="00AD790F" w:rsidRPr="005A0E0D" w:rsidRDefault="00AD790F" w:rsidP="00AD790F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17. </w:t>
            </w:r>
            <w:r w:rsidRPr="005A0E0D">
              <w:rPr>
                <w:rFonts w:ascii="Arial" w:hAnsi="Arial" w:cs="Arial"/>
                <w:sz w:val="20"/>
                <w:szCs w:val="20"/>
              </w:rPr>
              <w:t>MANIPULAÇÃO DE HORMÕNIOS, ANTIBIÓTICOS, CITOSTÁTICOS E SUBSTÂNCIAS SUJEITAS A CONTROLE ESPECIAL</w:t>
            </w:r>
          </w:p>
        </w:tc>
      </w:tr>
    </w:tbl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</w:t>
      </w:r>
    </w:p>
    <w:tbl>
      <w:tblPr>
        <w:tblW w:w="68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7"/>
        <w:gridCol w:w="539"/>
        <w:gridCol w:w="3930"/>
        <w:gridCol w:w="535"/>
        <w:gridCol w:w="533"/>
      </w:tblGrid>
      <w:tr w:rsidR="00AD790F" w:rsidRPr="005A0E0D" w:rsidTr="00AD790F">
        <w:trPr>
          <w:divId w:val="1181355689"/>
        </w:trPr>
        <w:tc>
          <w:tcPr>
            <w:tcW w:w="93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90F" w:rsidRPr="005A0E0D" w:rsidRDefault="00AD790F" w:rsidP="00AD790F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17.32.1.  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90F" w:rsidRPr="005A0E0D" w:rsidRDefault="00AD790F" w:rsidP="00AD790F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I  </w:t>
            </w:r>
          </w:p>
        </w:tc>
        <w:tc>
          <w:tcPr>
            <w:tcW w:w="2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90F" w:rsidRPr="005A0E0D" w:rsidRDefault="00AD790F" w:rsidP="00AD790F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O monitoramento obedece a uma periodicidade trimestral para as classes terapêuticas elencadas no item anterior?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90F" w:rsidRPr="005A0E0D" w:rsidRDefault="00AD790F" w:rsidP="00AD790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SIM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AD790F" w:rsidRPr="005A0E0D" w:rsidRDefault="00AD790F" w:rsidP="00AD790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A0E0D">
              <w:rPr>
                <w:rFonts w:ascii="Arial" w:hAnsi="Arial" w:cs="Arial"/>
                <w:i/>
                <w:iCs/>
                <w:sz w:val="20"/>
                <w:szCs w:val="20"/>
              </w:rPr>
              <w:t>NÃO</w:t>
            </w:r>
          </w:p>
        </w:tc>
      </w:tr>
    </w:tbl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(NR)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 xml:space="preserve">Art. 6º Prorrogar por 90 (noventa) dias, a partir da data de publicação desta, o prazo para o atendimento do disposto no item 2.7 do Anexo III da Resolução - RDC nº. 67, de 2007. </w:t>
      </w:r>
    </w:p>
    <w:p w:rsidR="00AD790F" w:rsidRPr="005A0E0D" w:rsidRDefault="00AD790F" w:rsidP="00AD790F">
      <w:pPr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 xml:space="preserve">Art. 7º  Revogar os itens 9.2.2,  9.2.2.1, 11.3 e 14.3  do Anexo I e o item 11.6.6.1 do Anexo VII da Resolução - RDC nº. 67, de 2007. </w:t>
      </w:r>
    </w:p>
    <w:p w:rsidR="00AD790F" w:rsidRPr="005A0E0D" w:rsidRDefault="00AD790F" w:rsidP="00AD790F">
      <w:pPr>
        <w:ind w:firstLine="567"/>
        <w:jc w:val="both"/>
        <w:divId w:val="1181355689"/>
        <w:rPr>
          <w:rFonts w:ascii="Arial" w:hAnsi="Arial" w:cs="Arial"/>
          <w:sz w:val="20"/>
          <w:szCs w:val="20"/>
        </w:rPr>
      </w:pPr>
      <w:r w:rsidRPr="005A0E0D">
        <w:rPr>
          <w:rFonts w:ascii="Arial" w:hAnsi="Arial" w:cs="Arial"/>
          <w:sz w:val="20"/>
          <w:szCs w:val="20"/>
        </w:rPr>
        <w:t>Art.8º. Esta Resolução entra em vigor na data de sua publicação.</w:t>
      </w:r>
    </w:p>
    <w:p w:rsidR="00AD790F" w:rsidRPr="005A0E0D" w:rsidRDefault="00AD790F" w:rsidP="00AD790F">
      <w:pPr>
        <w:pStyle w:val="Ttulo2"/>
        <w:divId w:val="1181355689"/>
      </w:pPr>
      <w:r w:rsidRPr="005A0E0D">
        <w:t>DIRCEU RAPOSO DE MELLO</w:t>
      </w:r>
    </w:p>
    <w:p w:rsidR="00A53197" w:rsidRDefault="00A53197">
      <w:pPr>
        <w:spacing w:before="0" w:beforeAutospacing="0" w:after="0" w:afterAutospacing="0"/>
        <w:jc w:val="center"/>
        <w:divId w:val="1181355694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524060"/>
    <w:rsid w:val="0054740D"/>
    <w:rsid w:val="005A0E0D"/>
    <w:rsid w:val="005D13BD"/>
    <w:rsid w:val="00652E8A"/>
    <w:rsid w:val="00771958"/>
    <w:rsid w:val="008B7BC0"/>
    <w:rsid w:val="008D770F"/>
    <w:rsid w:val="009B32C3"/>
    <w:rsid w:val="009D4C4B"/>
    <w:rsid w:val="009F4005"/>
    <w:rsid w:val="00A53197"/>
    <w:rsid w:val="00AD790F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790F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AD790F"/>
    <w:rPr>
      <w:rFonts w:asciiTheme="majorHAnsi" w:eastAsiaTheme="majorEastAsia" w:hAnsiTheme="majorHAnsi" w:cs="Times New Roman"/>
      <w:b/>
      <w:bCs/>
      <w:color w:val="4F81BD" w:themeColor="accent1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35569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568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355692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1813556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69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1741</Words>
  <Characters>9403</Characters>
  <Application>Microsoft Office Word</Application>
  <DocSecurity>0</DocSecurity>
  <Lines>78</Lines>
  <Paragraphs>22</Paragraphs>
  <ScaleCrop>false</ScaleCrop>
  <Company>ANVISA</Company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