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Pr="00D64BA7" w:rsidRDefault="009332F5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r>
        <w:rPr>
          <w:b/>
          <w:sz w:val="24"/>
          <w:szCs w:val="24"/>
          <w:shd w:val="clear" w:color="auto" w:fill="FFFFFF"/>
          <w:lang w:val="pt-BR"/>
        </w:rPr>
        <w:t>PORTARIA CONJUNTA Nº 2, DE 28</w:t>
      </w:r>
      <w:r w:rsidR="00D64BA7">
        <w:rPr>
          <w:b/>
          <w:sz w:val="24"/>
          <w:szCs w:val="24"/>
          <w:shd w:val="clear" w:color="auto" w:fill="FFFFFF"/>
          <w:lang w:val="pt-BR"/>
        </w:rPr>
        <w:t xml:space="preserve"> DE MARÇO</w:t>
      </w:r>
      <w:r w:rsidR="005327FC" w:rsidRPr="00D64BA7">
        <w:rPr>
          <w:b/>
          <w:sz w:val="24"/>
          <w:szCs w:val="24"/>
          <w:shd w:val="clear" w:color="auto" w:fill="FFFFFF"/>
          <w:lang w:val="pt-BR"/>
        </w:rPr>
        <w:t xml:space="preserve"> DE 2018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9332F5">
        <w:rPr>
          <w:b/>
          <w:color w:val="0000FF"/>
          <w:sz w:val="24"/>
          <w:szCs w:val="24"/>
          <w:shd w:val="clear" w:color="auto" w:fill="FFFFFF"/>
          <w:lang w:val="pt-BR"/>
        </w:rPr>
        <w:t>72, de 16 de abril</w:t>
      </w:r>
      <w:r w:rsidR="00D64BA7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 </w:t>
      </w:r>
      <w:r w:rsidR="005327FC">
        <w:rPr>
          <w:b/>
          <w:color w:val="0000FF"/>
          <w:sz w:val="24"/>
          <w:szCs w:val="24"/>
          <w:shd w:val="clear" w:color="auto" w:fill="FFFFFF"/>
          <w:lang w:val="pt-BR"/>
        </w:rPr>
        <w:t>de 2018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)</w:t>
      </w:r>
    </w:p>
    <w:p w:rsidR="009332F5" w:rsidRDefault="009332F5" w:rsidP="009332F5">
      <w:pPr>
        <w:spacing w:after="200"/>
        <w:ind w:left="3969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Define os procedimentos de troca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dados e informações entre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Corregedoria-Geral da União do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Ministério da Transparência e</w:t>
      </w:r>
      <w:r>
        <w:rPr>
          <w:sz w:val="24"/>
          <w:szCs w:val="24"/>
          <w:lang w:val="pt-BR"/>
        </w:rPr>
        <w:t xml:space="preserve"> </w:t>
      </w:r>
      <w:bookmarkStart w:id="0" w:name="_GoBack"/>
      <w:bookmarkEnd w:id="0"/>
      <w:r w:rsidRPr="009332F5">
        <w:rPr>
          <w:sz w:val="24"/>
          <w:szCs w:val="24"/>
          <w:lang w:val="pt-BR"/>
        </w:rPr>
        <w:t>Controladoria-Geral da União - CGU 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Agência Nacional de Vigilância Sanitária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- ANVISA, para a apuração de casos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envolvendo o suborno transnacional,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que trata o artigo 9º da Lei nº 12.846,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1º de agosto de 2013.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O MINISTRO DE ESTADO DA TRANSPARÊNCIA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CONTROLADORIA-GERAL DA UNIÃO - CGU e o DIRETORPRESIDENTE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DA AGÊNCIA NACIONAL DE VIGILÂNCIA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SANITÁRIA - ANVISA, no uso das atribuições que lhe conferem,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respectivamente, a Lei nº 13.502, de 1º de novembro de 2017 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Portaria nº 677, de 10 de março de 2017, a Lei nº 9.782, de 26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de janeiro de 1999, e tendo em vista o disposto no § 2º do art.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8º, e no art. 9º da Lei nº 12.846, de 1º de agosto de 2013, e 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art. 14 do Decreto nº 8.420, de 18 de março de 2015,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o reconhecimento de que a corrupção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é um fenômeno global e que deve ser combatida de forma eficaz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 toda a comunidade internacional;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a Convenção sobre o Combate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Corrupção de Funcionários Públicos Estrangeiros em Transações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Comerciais Internacionais, incorporada ao ordenamento jurídico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brasileiro por meio do Decreto nº. 3.678, de 30/11/2000;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o Brasil compartilha com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comunidade internacional a responsabilidade pelo combate aos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ilícios transnacionais, conforme estabelece a Lei nº 12.846,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01/08/2013, que disciplina a responsabilização objetiva, civil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administrativa das pessoas jurídicas nacionais pela prática de atos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contra a administração estrangeira;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a Agência Nacional de Vigilância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Sanitária tem a missão de proteger e promover a saúde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população, e busca se consolidar como protagonista no campo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regulação e do controle sanitário nacional e internacional;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competem exclusivamente ao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Ministério da Transparência e Controladoria-Geral da União -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CGU, por intermédio da Corregedoria-Geral da União - CRG, nos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termos do parágrafo único do art. 5º da Portaria nº 910,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07/04/2015, alterada pela Portaria nº 1.381, de 23 de junho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2017, a apuração, o processo e o julgamento dos atos ilícitos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previstos na Lei nº 12.846/2013, praticados contra a administração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pública estrangeira, resolvem: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1º. A troca de informações e documentos entre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Corregedoria-Geral da União - CRG e a Agência Nacional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Vigilância Sanitária - ANVISA, no que tange à pratica, 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exterior, de eventuais irregularidades por empresas brasileiras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 xml:space="preserve">estrangeiras </w:t>
      </w:r>
      <w:r w:rsidRPr="009332F5">
        <w:rPr>
          <w:sz w:val="24"/>
          <w:szCs w:val="24"/>
          <w:lang w:val="pt-BR"/>
        </w:rPr>
        <w:lastRenderedPageBreak/>
        <w:t>que tenham sede, filial ou representação no País,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que trata o art. 9º da Lei nº 12.846, de 1º de agosto de 2013,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regulamentada por meio do art. 14 do Decreto nº 8.420, de 18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março de 2015, seguirão o disposto nesta Portaria.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2º. Para os fins desta Portaria, considera-se suborno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transnacional, a oferta, promessa ou pagamento de benefício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pecuniário ou qualquer outra vantagem indevida, efetuado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diretamente ou por meio de intermediários, por parte de uma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pessoa jurídica brasileira ou estrangeira com sede, representação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ou filial no Brasil, a agente público estrangeiro para obtenção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um proveito que resulte em prejuízo à administração pública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estrangeira.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3º. A ANVISA deverá comunicar à CRG a prática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suborno transnacional por empresa brasileira ou estrangeira com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sede, filial ou representação no País, no ato da ciência do fato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supostamente irregular, nos termos do art. 2º desta Portaria.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4º. Na apuração inicial de práticas de suborno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transnacional, a CRG deverá comunicar a ANVISA acerca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existência de práticas que atentem contra a saúde da população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brasileira, decorrentes da produção e do uso de produtos e serviços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sujeitos à vigilância sanitária.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5º. Para os fins do disposto nos artigos 3º e 4º desta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Portaria, a CRG e a ANVISA deverão resguardar o sigilo das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informações e documentos compartilhados entre si, conforme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legislação que rege a matéria.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Art. 6º. Esta portaria entra em vigor na data de sua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publicação.</w:t>
      </w:r>
      <w:r>
        <w:rPr>
          <w:sz w:val="24"/>
          <w:szCs w:val="24"/>
          <w:lang w:val="pt-BR"/>
        </w:rPr>
        <w:t xml:space="preserve"> </w:t>
      </w:r>
    </w:p>
    <w:p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</w:p>
    <w:p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WAGNER DE CAMPOS ROSÁRIO</w:t>
      </w:r>
    </w:p>
    <w:p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Ministro de Estado da Transparência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Controladoria-Geral da União, Substituto</w:t>
      </w:r>
    </w:p>
    <w:p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</w:p>
    <w:p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JARBAS BARBOSA</w:t>
      </w:r>
    </w:p>
    <w:p w:rsidR="009332F5" w:rsidRPr="00842919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Diretor-Presidente da Agência Nacional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Vigilância Sanitária</w:t>
      </w:r>
    </w:p>
    <w:sectPr w:rsidR="009332F5" w:rsidRPr="00842919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95" w:rsidRDefault="006A1A95" w:rsidP="002D157E">
      <w:r>
        <w:separator/>
      </w:r>
    </w:p>
  </w:endnote>
  <w:endnote w:type="continuationSeparator" w:id="0">
    <w:p w:rsidR="006A1A95" w:rsidRDefault="006A1A9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95" w:rsidRDefault="006A1A95" w:rsidP="002D157E">
      <w:r>
        <w:separator/>
      </w:r>
    </w:p>
  </w:footnote>
  <w:footnote w:type="continuationSeparator" w:id="0">
    <w:p w:rsidR="006A1A95" w:rsidRDefault="006A1A9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6A1A9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A1A9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810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1AA4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27FC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A1A9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332F5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64BA7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4BE6D"/>
  <w14:defaultImageDpi w14:val="0"/>
  <w15:docId w15:val="{18098961-6D0C-4406-B813-18C6B57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3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0004E-DF80-4F2B-9188-C32C0685C5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498349-5AA7-447D-931B-E211E654667E}"/>
</file>

<file path=customXml/itemProps4.xml><?xml version="1.0" encoding="utf-8"?>
<ds:datastoreItem xmlns:ds="http://schemas.openxmlformats.org/officeDocument/2006/customXml" ds:itemID="{67A816E8-E317-4A84-9042-EB54DB59A1A4}"/>
</file>

<file path=customXml/itemProps5.xml><?xml version="1.0" encoding="utf-8"?>
<ds:datastoreItem xmlns:ds="http://schemas.openxmlformats.org/officeDocument/2006/customXml" ds:itemID="{5DFC2924-B2FF-4617-8951-CA2568720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3</cp:revision>
  <cp:lastPrinted>2017-05-29T17:11:00Z</cp:lastPrinted>
  <dcterms:created xsi:type="dcterms:W3CDTF">2018-04-16T13:38:00Z</dcterms:created>
  <dcterms:modified xsi:type="dcterms:W3CDTF">2018-04-16T13:42:00Z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