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</w:t>
      </w:r>
      <w:r w:rsidR="000D27A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3D23F7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</w:t>
      </w:r>
      <w:r w:rsidR="000D27A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7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FEVEIRO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>39, de 2</w:t>
      </w:r>
      <w:r w:rsidR="000D27AC">
        <w:rPr>
          <w:rFonts w:ascii="Times New Roman" w:hAnsi="Times New Roman"/>
          <w:b/>
          <w:color w:val="0000FF"/>
          <w:sz w:val="24"/>
          <w:szCs w:val="24"/>
          <w:lang w:eastAsia="pt-BR"/>
        </w:rPr>
        <w:t>8</w:t>
      </w:r>
      <w:bookmarkStart w:id="0" w:name="_GoBack"/>
      <w:bookmarkEnd w:id="0"/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fevereiro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A96837" w:rsidRDefault="00A96837" w:rsidP="00A96837">
      <w:pPr>
        <w:spacing w:after="20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Dispõe sobre as diretrizes para aprovação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condicional das petições de alteração pós</w:t>
      </w:r>
      <w:r>
        <w:rPr>
          <w:rFonts w:ascii="Times New Roman" w:hAnsi="Times New Roman"/>
          <w:sz w:val="24"/>
          <w:szCs w:val="24"/>
          <w:lang w:eastAsia="pt-BR"/>
        </w:rPr>
        <w:t>-</w:t>
      </w:r>
      <w:r w:rsidRPr="00A96837">
        <w:rPr>
          <w:rFonts w:ascii="Times New Roman" w:hAnsi="Times New Roman"/>
          <w:sz w:val="24"/>
          <w:szCs w:val="24"/>
          <w:lang w:eastAsia="pt-BR"/>
        </w:rPr>
        <w:t>registro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medicamentos e dá outras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providências.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Sanitária, no uso da atribuição que lhe confere o art. 15, III e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aliado ao art. 7º, III, e IV, da Lei nº 9.782, de 26 de janeiro de 1999,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 ao art. 53, V, §§ 1º e 3º do Regimento Interno aprovado nos termos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do Anexo I da Resolução da Diretoria Colegiada - RDC n° 61, de 3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fevereiro de 2016, resolve adotar a seguinte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Diretoria Colegiada, conforme deliberado em reunião realizada em 20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fevereiro de 2018, e eu, Diretor-Presidente, determino 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Pr="00A96837" w:rsidRDefault="00A96837" w:rsidP="00A96837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A96837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A96837" w:rsidRPr="00A96837" w:rsidRDefault="00A96837" w:rsidP="00A96837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A96837">
        <w:rPr>
          <w:rFonts w:ascii="Times New Roman" w:hAnsi="Times New Roman"/>
          <w:b/>
          <w:sz w:val="24"/>
          <w:szCs w:val="24"/>
          <w:lang w:eastAsia="pt-BR"/>
        </w:rPr>
        <w:t>DAS DISPOSIÇÕES INICIAIS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Art. 1º Esta Resolução se aplica às petições de alteração </w:t>
      </w:r>
      <w:r>
        <w:rPr>
          <w:rFonts w:ascii="Times New Roman" w:hAnsi="Times New Roman"/>
          <w:sz w:val="24"/>
          <w:szCs w:val="24"/>
          <w:lang w:eastAsia="pt-BR"/>
        </w:rPr>
        <w:t xml:space="preserve">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>de medicamentos e produtos biológicos protocoladas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Anvisa antes e após a vigência da Lei nº 13.411, de 28 de dezembro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2016.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2º Os prazos máximos para a decisão final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processos de alteração pós-registro de medicamentos e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biológicos serão, respectivamente: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para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a categoria prioritária, de sessenta dias, contados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partir da data do respectivo protocolo de priorização;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para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a categoria ordinária, de cento e oitenta dias,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contados a partir da data do respectivo protocolo de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</w:t>
      </w:r>
      <w:r w:rsidRPr="00A96837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Os prazos mencionados no caput poderão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prorrogados por até um terço do prazo original, uma única vez,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mediante decisão fundamentada da Anvisa expedida em, no mínimo,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quinze dias úteis antes do término do prazo original.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Os prazos mencionados no caput terão sua contagem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suspensa quando houver solicitação de informações ou exigências, até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que sejam atendidos.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3º Para efeito desta Resolução, são adotadas 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definições: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alteração pós-registro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>: modificação realizada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 após a concessão do registro sanitário;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aprovação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condicional: decisão final das alterações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>de medicamentos, presumida pela não manifestação contrária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da Anvisa nos prazos definidos na legislação vigente, contados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partir da data do seu 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peticionamento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lastRenderedPageBreak/>
        <w:t>III - relatório de Segurança e Eficácia: relatório de ensaios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não clínicos e clínicos de fase I, II ou III, dados de literatura,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tradicionalidade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de uso, estudos de bioequivalência,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biodisponibilidade relativa ou equivalência farmacêutica.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Pr="00A96837" w:rsidRDefault="00A96837" w:rsidP="00A96837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A96837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A96837" w:rsidRPr="00A96837" w:rsidRDefault="00A96837" w:rsidP="00A96837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A96837">
        <w:rPr>
          <w:rFonts w:ascii="Times New Roman" w:hAnsi="Times New Roman"/>
          <w:b/>
          <w:sz w:val="24"/>
          <w:szCs w:val="24"/>
          <w:lang w:eastAsia="pt-BR"/>
        </w:rPr>
        <w:t>DA APROVAÇÃO CONDICIONAL DA ALTERAÇÃO PÓS-REGISTRO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4º As petições de alterações pós-registro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medicamentos e produtos biológicos que aguardam avaliação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Anvisa podem ser objeto de aprovação condicional, desde que 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enquadrem nos seguintes requisitos: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estejam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instruídas com toda a documentação exigida nas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regulamentações sanitárias;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que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todas as provas requeridas estejam devidamente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autoanalisadas e aprovadas pela empresa, segundo as diretrizes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regulamentações sanitárias;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III - contenham avaliação de risco realizada pela empresa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requerente, no tocante à garantia da manutenção da qualidade,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eficácia e segurança do medicamento frente à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</w:t>
      </w:r>
      <w:r w:rsidRPr="00A96837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análise técnica pela Anvisa não tenha sido iniciada;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não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estejam pendentes de decisão em instância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recursal;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não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seja requerido relatório de segurança e eficácia,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termos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A aprovação condicional não se aplicará quando houver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mudança paralela a outra alteração pós-registro para a qual seja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requerido relatório de segurança e eficácia, nos termos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A aprovação condicional não se aplicará as alterações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pós-registro relacionadas ao processo produtivo e/ou local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fabricação do insumo farmacêutico ativo de produtos biológicos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venda sob prescrição médica.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5º Para as alterações pós-registro objeto da aprovação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condicional, nos termos desta Resolução, peticionadas antes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vigência da Lei nº 13.411, de 2016, a empresa deverá protocolar,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prazo de 60 (sessenta) dias a partir da vigência desta Resolução,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aditamento específico ao processo de registro, com os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documentos: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 - descrição por expediente e assunto da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com as seguintes informações: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insumo(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>s) farmacêutico(s)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ativo(s) (IFA), fabricante(s) do(s) IFA(s), composição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medicamento, forma(s) farmacêutica(s), concentração(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ões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), local(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is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fabricação do medicamento, equipamentos, processo produtivo,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metodologia analítica e especificações, acondicionamento(s),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apresentações do medicamento, prazo de validade e cuidados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conservação;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avaliação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de risco frente à alteração pós-registro proposta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 as medidas adotadas;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A96837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lastRenderedPageBreak/>
        <w:t>III - declaração conforme Anexo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Para as petições de alterações pós-registro protocoladas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no escopo da Resolução da Diretoria Colegiada- RDC n° 73, de 2016,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nas quais constem o Parecer de Avaliação Técnica da Empresa-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PATE, não é necessário a apresentação dos documentos constantes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nos incisos I e II.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Findo o prazo estabelecido no caput, a não manifestação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da empresa nos termos definidos nesta Resolução resultará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indeferimento da petição.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6º As petições de alterações pós-registro peticionadas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antes da vigência da Lei nº 13.411, de 2016, para as quais seja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requerido relatório de segurança e eficácia, terão seus procedimentos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análise mantidos e somente poderão ser implementadas após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manifestação favorável da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A empresa deverá protocolar manifestação de interesse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na análise da petição por meio de aditamento específico no prazo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60 (sessenta) dias a partir da vigência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Findo o prazo estabelecido no §1º, a não manifestação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empresa nos termos definidos nesta Resolução resultará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indeferimento da petição.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7º Para as alterações pós-registro objeto da aprovação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condicional, nos termos desta Resolução, peticionadas após a vigência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desta Regulamentação, a empresa deverá peticionar no ato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protocolo da alteração pós registro, aditamento específico ao processo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registro, com os seguintes documentos: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 - descrição por expediente e assunto da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com as seguintes informações: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insumo(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>s) farmacêutico(s)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ativo(s) (IFA), fabricante(s) do(s) IFA(s), composição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medicamento, forma(s) farmacêutica(s), concentração(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ões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), local(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is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fabricação do medicamento, equipamentos, processo produtivo,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metodologia analítica e especificações, acondicionamento(s),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apresentações do medicamento, prazo de validade e cuidados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conservação;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avaliação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de risco frente à alteração pós-registro proposta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 as medidas adotadas;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III - declaração conforme Anexo I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Para as petições de alterações pós-registro protocoladas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no escopo da Resolução da Diretoria Colegiada- RDC n° 73, de 2016,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nas quais constem o Parecer de Avaliação Técnica Empresa- PATE,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não é necessário a apresentação dos documentos constantes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incisos I e II.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Findo o prazo estabelecido para a manifestação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Anvisa nos termos da Lei nº 13.411, de 2016, a ausência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aditamento estabelecido no caput resultará no indeferimento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petição.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CAPÍTULO III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DO ACOMPANHAMENTO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lastRenderedPageBreak/>
        <w:t>Art. 8º As áreas da Anvisa responsáveis pelo registro,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inspeção, fiscalização e monitoramento de medicamentos,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estabelecerão programa de acompanhamento das alterações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>implementadas de acordo com a aprovação condicional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prevista nesta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Parágrafo único. O programa estabelecido no caput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considerará aspectos de risco e complexidade dos produtos e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alterações pós-registro aprovadas condicionalmente.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9º Durante as inspeções de acompanhamento ou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ações de fiscalização, a empresa deverá fornecer toda a documentação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referente ao dossiê técnico completo, exigida nas regulamentações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sanitárias vigentes à época do 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peticionamento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, que trata das alterações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pós registro de medicamentos.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Parágrafo único. Durante as inspeções de acompanhamento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Anvisa poderá solicitar a análise de amostras de referência retidas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dos estudos de estabilidade do medicamento para realização,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presença dos inspetores e no próprio laboratório da empresa,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quaisquer dos testes previstos para o controle de qualidade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 ou do produto biológico.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10. A área responsável pelo registro dos medicamentos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deverá estabelecer estratégias e procedimentos de análise técnica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alterações pós-registro, baseados na avaliação do risco sanitário.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Parágrafo único. A avalição de risco sanitário não eximirá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empresa do cumprimento das regulamentações sanitárias.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CAPÍTULO IV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DAS MEDIDAS ADMINISTRATIVAS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11. As petições de alterações pós-registro objeto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aprovação condicional nos termos desta Resolução poderão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avaliadas pela Anvisa a qualquer tempo ou verificadas in loco,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podendo resultar em alteração da decisão, solicitação de provas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adicionais, recolhimento de lotes, suspensão de fabricação e/ou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comercialização e o cancelamento de registro do medicamento, bem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como outras medidas legais cabíveis.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As medidas administrativas citadas no caput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aplicadas de forma unilateral pela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Os procedimentos para a suspensão cautelar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fabricação do medicamento serão realizados nos autos do mesmo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processo administrativo no qual houve a concessão do registro.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12. As medidas administrativas citadas nesta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poderão ser aplicadas nas seguintes situações: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descumprimento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dos requisitos previstos em regulamentos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sanitários;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implementação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de alteração pós-registro que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aguardar a decisão favorável da Anvisa;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III - falsificação, adulteração ou alteração injustificada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informação prestada;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lastRenderedPageBreak/>
        <w:t xml:space="preserve">IV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falhas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relativas à segurança, à eficácia ou à qualidade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produto;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ausência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ou reprovação de estudo ou teste obrigatório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para a implementação da alteração pós-registro.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13. A aprovação condicional das petições de alterações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pós-registro nos termos desta Resolução, não isenta a empresa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sofrer as consequências previstas para as infrações sanitárias,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termos da Lei nº 6.437, de 20 de agosto de 1977 e suas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atualizações.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Parágrafo único. As infrações sanitárias serão apuradas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processo administrativo próprio.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14. Havendo interposição de recurso administrativo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contra decisão que cancelou o registro ou suspendeu cautelarmente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fabricação do medicamento a avaliação do efeito suspensivo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recurso deverá ser apreciada no prazo máximo de 30 (trinta) dias,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contados da data de protocolo do recurso.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A autoridade que decidiu sobre o cancelamento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registro ou a suspensão cautelar da fabricação do medicamento,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quando não reconsiderar sua decisão, em face da interposição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recurso, deverá, se entender necessário como medida de prevenção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risco sanitário, suscitar a imediata apreciação da retirada do efeito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suspensivo do recurso.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Após decisão sobre a retirada do efeito suspensivo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recurso, os autos devem retornar à autoridade que proferiu a decisão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que dará o regular andamento para o julgamento do mérito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recurso.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CAPÍTULO V</w:t>
      </w:r>
    </w:p>
    <w:p w:rsidR="001354CB" w:rsidRPr="001354CB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354CB">
        <w:rPr>
          <w:rFonts w:ascii="Times New Roman" w:hAnsi="Times New Roman"/>
          <w:b/>
          <w:sz w:val="24"/>
          <w:szCs w:val="24"/>
          <w:lang w:eastAsia="pt-BR"/>
        </w:rPr>
        <w:t>DAS DISPOSIÇÕES FINAIS E TRANSITÓRIAS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15. Para as alterações pós-registro objeto da aprovação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condicional, nos termos desta Resolução, peticionadas após a vigência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da Lei nº 13.411, de 2016, e que aguardam manifestação da Anvisa,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 empresa deverá protocolar em até 60 (sessenta) dias contados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partir da publicação desta Resolução, aditamento específico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processo de registro, com os seguintes documentos: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 - descrição por expediente e assunto da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pós-registro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com as seguintes informações: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insumo(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>s) farmacêutico(s)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ativo(s) (IFA), fabricante(s) do(s) IFA(s), composição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medicamento, forma(s) farmacêutica(s), concentração(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ões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), local(</w:t>
      </w:r>
      <w:proofErr w:type="spellStart"/>
      <w:r w:rsidRPr="00A96837">
        <w:rPr>
          <w:rFonts w:ascii="Times New Roman" w:hAnsi="Times New Roman"/>
          <w:sz w:val="24"/>
          <w:szCs w:val="24"/>
          <w:lang w:eastAsia="pt-BR"/>
        </w:rPr>
        <w:t>is</w:t>
      </w:r>
      <w:proofErr w:type="spellEnd"/>
      <w:r w:rsidRPr="00A96837">
        <w:rPr>
          <w:rFonts w:ascii="Times New Roman" w:hAnsi="Times New Roman"/>
          <w:sz w:val="24"/>
          <w:szCs w:val="24"/>
          <w:lang w:eastAsia="pt-BR"/>
        </w:rPr>
        <w:t>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fabricação do medicamento, equipamentos, processo produtivo,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metodologia analítica e especificações, acondicionamento(s),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apresentações do medicamento, prazo de validade e cuidados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conservação;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A96837">
        <w:rPr>
          <w:rFonts w:ascii="Times New Roman" w:hAnsi="Times New Roman"/>
          <w:sz w:val="24"/>
          <w:szCs w:val="24"/>
          <w:lang w:eastAsia="pt-BR"/>
        </w:rPr>
        <w:t>avaliação</w:t>
      </w:r>
      <w:proofErr w:type="gramEnd"/>
      <w:r w:rsidRPr="00A96837">
        <w:rPr>
          <w:rFonts w:ascii="Times New Roman" w:hAnsi="Times New Roman"/>
          <w:sz w:val="24"/>
          <w:szCs w:val="24"/>
          <w:lang w:eastAsia="pt-BR"/>
        </w:rPr>
        <w:t xml:space="preserve"> de risco frente à alteração pós-registro proposta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 as medidas adotadas;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III - declaração conforme Anexo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§1º Para as petições de alterações pós-registro protocoladas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no escopo da Resolução da Diretoria Colegiada- RDC n° 73/2016,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 xml:space="preserve">nas quais constem o Parecer de Avaliação </w:t>
      </w:r>
      <w:r w:rsidRPr="00A96837">
        <w:rPr>
          <w:rFonts w:ascii="Times New Roman" w:hAnsi="Times New Roman"/>
          <w:sz w:val="24"/>
          <w:szCs w:val="24"/>
          <w:lang w:eastAsia="pt-BR"/>
        </w:rPr>
        <w:lastRenderedPageBreak/>
        <w:t>Técnica Empresa- PATE,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não é necessário a apresentação dos documentos constantes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incisos I e II.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§2º Findo o prazo estabelecido no caput, a não manifestação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da empresa resultará no indeferimento da petição.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16. A Gerência Geral de Medicamentos e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Biológicos deverá publicar Resolução com a relação dos expedientes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e assuntos com a aprovação condicional nos termos da Lei nº 13.411,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de 2016, conforme previsto nesta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A96837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Art. 17. Esta Resolução entra em vigor na data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A96837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354CB" w:rsidRDefault="001354CB" w:rsidP="00A96837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A96837" w:rsidRDefault="00A96837" w:rsidP="001354CB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A96837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p w:rsidR="001A1E9A" w:rsidRDefault="001A1E9A" w:rsidP="001354CB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1A1E9A" w:rsidRPr="002C19EC" w:rsidRDefault="001A1E9A" w:rsidP="001A1E9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C19EC">
        <w:rPr>
          <w:rFonts w:ascii="Times New Roman" w:hAnsi="Times New Roman"/>
          <w:b/>
          <w:sz w:val="24"/>
          <w:szCs w:val="24"/>
          <w:lang w:eastAsia="pt-BR"/>
        </w:rPr>
        <w:t>ANEXO</w:t>
      </w:r>
    </w:p>
    <w:p w:rsidR="001A1E9A" w:rsidRPr="002C19EC" w:rsidRDefault="001A1E9A" w:rsidP="001A1E9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C19EC">
        <w:rPr>
          <w:rFonts w:ascii="Times New Roman" w:hAnsi="Times New Roman"/>
          <w:b/>
          <w:sz w:val="24"/>
          <w:szCs w:val="24"/>
          <w:lang w:eastAsia="pt-BR"/>
        </w:rPr>
        <w:t>DECLARAÇÃO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Número do processo de registro: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Nome do produto: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gramStart"/>
      <w:r w:rsidRPr="001A1E9A">
        <w:rPr>
          <w:rFonts w:ascii="Times New Roman" w:hAnsi="Times New Roman"/>
          <w:sz w:val="24"/>
          <w:szCs w:val="24"/>
          <w:lang w:eastAsia="pt-BR"/>
        </w:rPr>
        <w:t>Insumo(</w:t>
      </w:r>
      <w:proofErr w:type="gramEnd"/>
      <w:r w:rsidRPr="001A1E9A">
        <w:rPr>
          <w:rFonts w:ascii="Times New Roman" w:hAnsi="Times New Roman"/>
          <w:sz w:val="24"/>
          <w:szCs w:val="24"/>
          <w:lang w:eastAsia="pt-BR"/>
        </w:rPr>
        <w:t>s) farmacêutico(s) ativo(s) (IFA):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Considerando o disposto na Resolução da Diretoria Colegiada - RDC n° 219, de 27 de fevereiro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de 2018, a empresa _______________________________________, CNPJ __________________, declara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no Quadro 1 o(s) número(s) do(s) expediente(s) das alterações pós-registro relacionadas ao produto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supracitado para o qual está sendo solicitada aprovação condicional, nos termos da Lei nº 13.411, de 28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dezembro de 2016, conforme previsto na Resolução da Diretoria Colegiada- RDC nº 217, de 27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fevereiro de 2018.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A empresa declara também que as condições aprovadas e propostas para o produto estão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acordo com o Quadro 2.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A empresa declara ainda ter cumprido o disposto nas regulamentações sanitárias de medicamentos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no que se refere à documentação e a realização das provas requeridas à época do protocolo da petição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cada assunto, bem como ter realizado a avaliação de risco no tocante à garantia da manutenção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atributos críticos de qualidade, eficácia e segurança do medicamento frente a implementação da alteração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pós-registro.</w:t>
      </w:r>
    </w:p>
    <w:p w:rsid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Quadro 1 - expedientes objetos de aprovação condicional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1E9A" w:rsidTr="001A1E9A">
        <w:tc>
          <w:tcPr>
            <w:tcW w:w="2831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N° de expediente</w:t>
            </w:r>
          </w:p>
        </w:tc>
        <w:tc>
          <w:tcPr>
            <w:tcW w:w="2831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Descrição do Assunto</w:t>
            </w:r>
          </w:p>
        </w:tc>
        <w:tc>
          <w:tcPr>
            <w:tcW w:w="2832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Data de protocolo</w:t>
            </w:r>
          </w:p>
        </w:tc>
      </w:tr>
      <w:tr w:rsidR="001A1E9A" w:rsidTr="001A1E9A">
        <w:tc>
          <w:tcPr>
            <w:tcW w:w="2831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lastRenderedPageBreak/>
        <w:t>Quadro 2 - comparação entre condições aprovadas e propostas para 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1400"/>
        <w:gridCol w:w="1655"/>
        <w:gridCol w:w="1660"/>
        <w:gridCol w:w="1655"/>
      </w:tblGrid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Condição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Descrição aprovada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Expediente 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aprovação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Descrição objeto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de aprovação condicional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Expediente do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pleito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</w:tr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Apresentações do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medicamento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Prazo de validade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Cuidados de conservação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Forma(</w:t>
            </w:r>
            <w:proofErr w:type="gramEnd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s) farmacêutica(s)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Local(</w:t>
            </w:r>
            <w:proofErr w:type="spellStart"/>
            <w:proofErr w:type="gramEnd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is</w:t>
            </w:r>
            <w:proofErr w:type="spellEnd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) de fabricação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do medicamento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Processo de produção 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equipamentos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Tamanho de lote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5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Composição do medicamento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Especificações e métodos de análise do produto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Prazo de validade 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cuidados de conservação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Acondicionamento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1A1E9A" w:rsidTr="001A1E9A">
        <w:tc>
          <w:tcPr>
            <w:tcW w:w="1980" w:type="dxa"/>
          </w:tcPr>
          <w:p w:rsidR="001A1E9A" w:rsidRP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Fabricante(</w:t>
            </w:r>
            <w:proofErr w:type="gramEnd"/>
            <w:r w:rsidRPr="001A1E9A">
              <w:rPr>
                <w:rFonts w:ascii="Times New Roman" w:hAnsi="Times New Roman"/>
                <w:sz w:val="24"/>
                <w:szCs w:val="24"/>
                <w:lang w:eastAsia="pt-BR"/>
              </w:rPr>
              <w:t>s) do(s)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IFA(s)</w:t>
            </w:r>
            <w:r w:rsidRPr="001A1E9A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1425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696" w:type="dxa"/>
          </w:tcPr>
          <w:p w:rsidR="001A1E9A" w:rsidRDefault="001A1E9A" w:rsidP="001A1E9A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1. Expediente de registro ou alteração pós-registro no qual a condição foi explicitamente solicitada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e aprovada.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2. Expediente no qual a condição foi explicitamente solicitada.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lastRenderedPageBreak/>
        <w:t>3. Descrever todos os locais de fabricação aprovados com nome, CNPJ (se aplicável)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endereço.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4. Não é necessário descrever. Informar apenas o expediente no qual foi aprovado/pleiteado.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5. Descrever tamanho ou faixa aprovada em unidades de peso/volume e em unidades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farmacotécnicas.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A empresa declara estar ciente de que quaisquer incorreções ou alterações não autorizadas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condição registrada, que porventura tenham sido descritas neste documento não serão tacitamente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aprovadas com a aprovação condicional da presente petição. Quaisquer outros documentos técnicos,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informações ou alterações enviadas anteriormente pela requerente não relacionados ao assunto de petição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não serão aprovadas por esta ANVISA.</w:t>
      </w:r>
    </w:p>
    <w:p w:rsidR="001A1E9A" w:rsidRP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A empresa, nas pessoas de seus responsáveis legal e técnico, assegura e se responsabiliza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veracidade e pela fidedignidade das informações aqui prestadas, estando ciente de que é responsável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qualidade dos medicamentos por ela registrados, assegurando que sejam adequados aos fins a que 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destinam, cumpram com os requisitos estabelecidos em seu registro e não coloquem os pacientes em risco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por apresentarem segurança, qualidade ou eficácia inadequada, e que inconsistências das informações aqui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prestadas com o processo de registro do medicamento podem ocasionar alteração da decisão, recolhimento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de lotes, suspensão de fabricação e/ou comercialização, cancelamento de registro e demais penalidades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termos da Lei nº 6.437, de 20 de agosto de 1977 e suas atualizações, sem prejuízo de outras penalidades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A1E9A">
        <w:rPr>
          <w:rFonts w:ascii="Times New Roman" w:hAnsi="Times New Roman"/>
          <w:sz w:val="24"/>
          <w:szCs w:val="24"/>
          <w:lang w:eastAsia="pt-BR"/>
        </w:rPr>
        <w:t>previstas em Lei.</w:t>
      </w:r>
    </w:p>
    <w:p w:rsidR="001A1E9A" w:rsidRDefault="001A1E9A" w:rsidP="001A1E9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A1E9A">
        <w:rPr>
          <w:rFonts w:ascii="Times New Roman" w:hAnsi="Times New Roman"/>
          <w:sz w:val="24"/>
          <w:szCs w:val="24"/>
          <w:lang w:eastAsia="pt-BR"/>
        </w:rPr>
        <w:t>REPRESENTANTE LEGAL RESPONSÁVEL TÉCNICO</w:t>
      </w:r>
    </w:p>
    <w:sectPr w:rsidR="001A1E9A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0050ED"/>
    <w:rsid w:val="000D27AC"/>
    <w:rsid w:val="001354CB"/>
    <w:rsid w:val="001A1E9A"/>
    <w:rsid w:val="002C19EC"/>
    <w:rsid w:val="003D23F7"/>
    <w:rsid w:val="0040340C"/>
    <w:rsid w:val="004707E4"/>
    <w:rsid w:val="00571816"/>
    <w:rsid w:val="005C3A41"/>
    <w:rsid w:val="005E4786"/>
    <w:rsid w:val="006F7A81"/>
    <w:rsid w:val="007B10F4"/>
    <w:rsid w:val="00A96837"/>
    <w:rsid w:val="00AA217E"/>
    <w:rsid w:val="00B63A5B"/>
    <w:rsid w:val="00C05AAE"/>
    <w:rsid w:val="00C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1B248274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table" w:styleId="Tabelacomgrade">
    <w:name w:val="Table Grid"/>
    <w:basedOn w:val="Tabela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5AB9D-464C-4611-8865-2A58BA6F7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366576-610F-4CA1-9C8A-2C78760134DD}"/>
</file>

<file path=customXml/itemProps3.xml><?xml version="1.0" encoding="utf-8"?>
<ds:datastoreItem xmlns:ds="http://schemas.openxmlformats.org/officeDocument/2006/customXml" ds:itemID="{599C3DBE-D67F-4B62-B826-E2605BF7CA31}"/>
</file>

<file path=customXml/itemProps4.xml><?xml version="1.0" encoding="utf-8"?>
<ds:datastoreItem xmlns:ds="http://schemas.openxmlformats.org/officeDocument/2006/customXml" ds:itemID="{3BE20314-DAC2-4CDC-97F4-0BA1EF142F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2374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7</cp:revision>
  <cp:lastPrinted>2018-02-28T20:43:00Z</cp:lastPrinted>
  <dcterms:created xsi:type="dcterms:W3CDTF">2018-02-28T19:24:00Z</dcterms:created>
  <dcterms:modified xsi:type="dcterms:W3CDTF">2018-03-02T19:42:00Z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