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DE7FF" w14:textId="4957241E" w:rsidR="00487041" w:rsidRPr="004347BE" w:rsidRDefault="00382EB8" w:rsidP="004347BE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4347BE">
        <w:rPr>
          <w:rFonts w:ascii="Times New Roman" w:hAnsi="Times New Roman"/>
          <w:b/>
          <w:bCs/>
          <w:sz w:val="24"/>
          <w:szCs w:val="24"/>
          <w:lang w:eastAsia="pt-BR"/>
        </w:rPr>
        <w:t>INSTRUÇÃO NORMATIVA N</w:t>
      </w:r>
      <w:r w:rsidR="00105C8E" w:rsidRPr="004347BE">
        <w:rPr>
          <w:rFonts w:ascii="Times New Roman" w:hAnsi="Times New Roman"/>
          <w:sz w:val="24"/>
          <w:szCs w:val="24"/>
        </w:rPr>
        <w:t>º</w:t>
      </w:r>
      <w:r w:rsidRPr="004347BE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="003F091E">
        <w:rPr>
          <w:rFonts w:ascii="Times New Roman" w:hAnsi="Times New Roman"/>
          <w:b/>
          <w:bCs/>
          <w:sz w:val="24"/>
          <w:szCs w:val="24"/>
          <w:lang w:eastAsia="pt-BR"/>
        </w:rPr>
        <w:t>40</w:t>
      </w:r>
      <w:r w:rsidRPr="004347BE">
        <w:rPr>
          <w:rFonts w:ascii="Times New Roman" w:hAnsi="Times New Roman"/>
          <w:b/>
          <w:bCs/>
          <w:sz w:val="24"/>
          <w:szCs w:val="24"/>
          <w:lang w:eastAsia="pt-BR"/>
        </w:rPr>
        <w:t xml:space="preserve">, </w:t>
      </w:r>
      <w:r w:rsidR="00105C8E" w:rsidRPr="004347BE">
        <w:rPr>
          <w:rFonts w:ascii="Times New Roman" w:hAnsi="Times New Roman"/>
          <w:b/>
          <w:bCs/>
          <w:sz w:val="24"/>
          <w:szCs w:val="24"/>
          <w:lang w:eastAsia="pt-BR"/>
        </w:rPr>
        <w:t xml:space="preserve">DE </w:t>
      </w:r>
      <w:r w:rsidR="0020792A" w:rsidRPr="004347BE">
        <w:rPr>
          <w:rFonts w:ascii="Times New Roman" w:hAnsi="Times New Roman"/>
          <w:b/>
          <w:bCs/>
          <w:sz w:val="24"/>
          <w:szCs w:val="24"/>
          <w:lang w:eastAsia="pt-BR"/>
        </w:rPr>
        <w:t>21 DE AGOSTO</w:t>
      </w:r>
      <w:r w:rsidRPr="004347BE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DE 2019</w:t>
      </w:r>
    </w:p>
    <w:p w14:paraId="5899DD0E" w14:textId="657CC387" w:rsidR="00487041" w:rsidRPr="004347BE" w:rsidRDefault="00487041" w:rsidP="004347BE">
      <w:pPr>
        <w:spacing w:after="200" w:line="240" w:lineRule="auto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4347BE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(Publicada no DOU nº </w:t>
      </w:r>
      <w:r w:rsidR="0020792A" w:rsidRPr="004347BE">
        <w:rPr>
          <w:rFonts w:ascii="Times New Roman" w:hAnsi="Times New Roman"/>
          <w:b/>
          <w:color w:val="0000FF"/>
          <w:sz w:val="24"/>
          <w:szCs w:val="24"/>
          <w:lang w:eastAsia="pt-BR"/>
        </w:rPr>
        <w:t>162</w:t>
      </w:r>
      <w:r w:rsidR="00105C8E" w:rsidRPr="004347BE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, de </w:t>
      </w:r>
      <w:r w:rsidR="0020792A" w:rsidRPr="004347BE">
        <w:rPr>
          <w:rFonts w:ascii="Times New Roman" w:hAnsi="Times New Roman"/>
          <w:b/>
          <w:color w:val="0000FF"/>
          <w:sz w:val="24"/>
          <w:szCs w:val="24"/>
          <w:lang w:eastAsia="pt-BR"/>
        </w:rPr>
        <w:t>22 de agosto</w:t>
      </w:r>
      <w:r w:rsidRPr="004347BE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de 2019)</w:t>
      </w:r>
    </w:p>
    <w:p w14:paraId="1C6FF8C9" w14:textId="77777777" w:rsidR="00746D40" w:rsidRDefault="00746D40" w:rsidP="00746D40">
      <w:pPr>
        <w:spacing w:after="200" w:line="240" w:lineRule="auto"/>
        <w:ind w:left="5103" w:right="120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Dispõe sobre as Boas Práticas de Fabricação complementares às atividades de amostragem de matérias-primas e materiais de embalagens utilizados na fabricação de medicamentos.</w:t>
      </w:r>
    </w:p>
    <w:p w14:paraId="2B6E4392" w14:textId="38D9F3EF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A Diretoria Colegiada da Agência Nacional de Vigilância Sanitária, no uso das atribuições que lhe confere o art. 15, III e IV, aliado ao art. 7º, III e IV da Lei nº 9.782, de 26 de janeiro de 1999, e ao art. 53, VI, §§ 1º e 3º do Regimento Interno aprovado pela Resolução da Diretoria Colegiada - RDC n° 255, de 10 de dezembro de 2018, em reunião realizada em 20 de agosto de 2019, resolve:</w:t>
      </w:r>
    </w:p>
    <w:p w14:paraId="55C35EAF" w14:textId="77777777" w:rsidR="00746D40" w:rsidRPr="00746D40" w:rsidRDefault="00746D40" w:rsidP="00746D40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46D40">
        <w:rPr>
          <w:rFonts w:ascii="Times New Roman" w:hAnsi="Times New Roman"/>
          <w:b/>
          <w:sz w:val="24"/>
          <w:szCs w:val="24"/>
          <w:lang w:eastAsia="pt-BR"/>
        </w:rPr>
        <w:t>CAPÍTULO I</w:t>
      </w:r>
    </w:p>
    <w:p w14:paraId="626FDF80" w14:textId="77777777" w:rsidR="00746D40" w:rsidRPr="00746D40" w:rsidRDefault="00746D40" w:rsidP="00746D40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46D40">
        <w:rPr>
          <w:rFonts w:ascii="Times New Roman" w:hAnsi="Times New Roman"/>
          <w:b/>
          <w:sz w:val="24"/>
          <w:szCs w:val="24"/>
          <w:lang w:eastAsia="pt-BR"/>
        </w:rPr>
        <w:t>DAS DISPOSIÇÕES INICIAIS</w:t>
      </w:r>
    </w:p>
    <w:p w14:paraId="647F8F97" w14:textId="77777777" w:rsidR="00746D40" w:rsidRPr="00746D40" w:rsidRDefault="00746D40" w:rsidP="00746D40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46D40">
        <w:rPr>
          <w:rFonts w:ascii="Times New Roman" w:hAnsi="Times New Roman"/>
          <w:b/>
          <w:sz w:val="24"/>
          <w:szCs w:val="24"/>
          <w:lang w:eastAsia="pt-BR"/>
        </w:rPr>
        <w:t>Seção I</w:t>
      </w:r>
    </w:p>
    <w:p w14:paraId="22AC7EBC" w14:textId="77777777" w:rsidR="00746D40" w:rsidRPr="00746D40" w:rsidRDefault="00746D40" w:rsidP="00746D40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46D40">
        <w:rPr>
          <w:rFonts w:ascii="Times New Roman" w:hAnsi="Times New Roman"/>
          <w:b/>
          <w:sz w:val="24"/>
          <w:szCs w:val="24"/>
          <w:lang w:eastAsia="pt-BR"/>
        </w:rPr>
        <w:t>Do objetivo</w:t>
      </w:r>
    </w:p>
    <w:p w14:paraId="0CD578E5" w14:textId="6A0A27FA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Art. 1º Esta Instrução Normativa possui o objetivo de adotar as diretrizes de Boas Práticas de Fabricação de Medicamentos relacionadas às atividades de amostragem de matérias-primas e materiais de embalagem do Esquema de Cooperação em Inspeção Farmacêutica, PIC/S, como requisitos complementares a serem seguidos na fabricação de medicamentos em adição às Diretrizes Gerais de Boas Práticas de Fabricação de Medicamentos.</w:t>
      </w:r>
    </w:p>
    <w:p w14:paraId="2E572FAE" w14:textId="77777777" w:rsidR="00746D40" w:rsidRPr="00746D40" w:rsidRDefault="00746D40" w:rsidP="00746D40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46D40">
        <w:rPr>
          <w:rFonts w:ascii="Times New Roman" w:hAnsi="Times New Roman"/>
          <w:b/>
          <w:sz w:val="24"/>
          <w:szCs w:val="24"/>
          <w:lang w:eastAsia="pt-BR"/>
        </w:rPr>
        <w:t>Seção II</w:t>
      </w:r>
    </w:p>
    <w:p w14:paraId="708A01FF" w14:textId="77777777" w:rsidR="00746D40" w:rsidRPr="00746D40" w:rsidRDefault="00746D40" w:rsidP="00746D40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46D40">
        <w:rPr>
          <w:rFonts w:ascii="Times New Roman" w:hAnsi="Times New Roman"/>
          <w:b/>
          <w:sz w:val="24"/>
          <w:szCs w:val="24"/>
          <w:lang w:eastAsia="pt-BR"/>
        </w:rPr>
        <w:t>Da abrangência</w:t>
      </w:r>
    </w:p>
    <w:p w14:paraId="0833FCBD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Art. 2º Esta Instrução Normativa se aplica às empresas que realizam as operações relativas à amostragem de matéria-prima e materiais de embalagem utilizados na fabricação de medicamentos, incluindo os medicamentos experimentais.</w:t>
      </w:r>
    </w:p>
    <w:p w14:paraId="3B8ABF71" w14:textId="77777777" w:rsidR="00746D40" w:rsidRPr="00746D40" w:rsidRDefault="00746D40" w:rsidP="00746D40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46D40">
        <w:rPr>
          <w:rFonts w:ascii="Times New Roman" w:hAnsi="Times New Roman"/>
          <w:b/>
          <w:sz w:val="24"/>
          <w:szCs w:val="24"/>
          <w:lang w:eastAsia="pt-BR"/>
        </w:rPr>
        <w:t>CAPÍTULO II</w:t>
      </w:r>
    </w:p>
    <w:p w14:paraId="306835D2" w14:textId="77777777" w:rsidR="00746D40" w:rsidRPr="00746D40" w:rsidRDefault="00746D40" w:rsidP="00746D40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46D40">
        <w:rPr>
          <w:rFonts w:ascii="Times New Roman" w:hAnsi="Times New Roman"/>
          <w:b/>
          <w:sz w:val="24"/>
          <w:szCs w:val="24"/>
          <w:lang w:eastAsia="pt-BR"/>
        </w:rPr>
        <w:t>DAS DISPOSIÇÕES GERAIS</w:t>
      </w:r>
    </w:p>
    <w:p w14:paraId="1F76F876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Art. 3ºA amostragem é uma importante operação na qual uma pequena fração de um lote é tomada.</w:t>
      </w:r>
    </w:p>
    <w:p w14:paraId="6131FA2F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Parágrafo único. As decisões sobre lotes de matérias-primas e materiais de embalagem devem ser baseadas em ensaios realizados em amostras representativas.</w:t>
      </w:r>
    </w:p>
    <w:p w14:paraId="5BAAAEE6" w14:textId="77777777" w:rsidR="00746D40" w:rsidRPr="00746D40" w:rsidRDefault="00746D40" w:rsidP="00746D40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46D40">
        <w:rPr>
          <w:rFonts w:ascii="Times New Roman" w:hAnsi="Times New Roman"/>
          <w:b/>
          <w:sz w:val="24"/>
          <w:szCs w:val="24"/>
          <w:lang w:eastAsia="pt-BR"/>
        </w:rPr>
        <w:lastRenderedPageBreak/>
        <w:t>CAPÍTULO III</w:t>
      </w:r>
    </w:p>
    <w:p w14:paraId="2ED046FE" w14:textId="77777777" w:rsidR="00746D40" w:rsidRPr="00746D40" w:rsidRDefault="00746D40" w:rsidP="00746D40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46D40">
        <w:rPr>
          <w:rFonts w:ascii="Times New Roman" w:hAnsi="Times New Roman"/>
          <w:b/>
          <w:sz w:val="24"/>
          <w:szCs w:val="24"/>
          <w:lang w:eastAsia="pt-BR"/>
        </w:rPr>
        <w:t>DO PESSOAL</w:t>
      </w:r>
    </w:p>
    <w:p w14:paraId="5D03342C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Art. 4º O pessoal que coleta amostras deve receber treinamento inicial e regular nas disciplinas relevantes para a correta amostragem, que deve incluir:</w:t>
      </w:r>
    </w:p>
    <w:p w14:paraId="3A403727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I -planos de amostragem;</w:t>
      </w:r>
    </w:p>
    <w:p w14:paraId="4617007D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II -procedimentos de amostragem escritos;</w:t>
      </w:r>
    </w:p>
    <w:p w14:paraId="68FD09CD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III -técnicas e equipamentos para amostragem;</w:t>
      </w:r>
    </w:p>
    <w:p w14:paraId="429A77EE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IV -riscos de contaminação cruzada;</w:t>
      </w:r>
    </w:p>
    <w:p w14:paraId="4BCD55C5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V -precauções necessárias em relação a substâncias instáveis ou estéreis;</w:t>
      </w:r>
    </w:p>
    <w:p w14:paraId="7D21CCF1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VI -conferência da aparência visual de materiais, recipientes e rótulos;</w:t>
      </w:r>
    </w:p>
    <w:p w14:paraId="71BC314C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VII -registros de circunstâncias inesperadas ou incomuns.</w:t>
      </w:r>
    </w:p>
    <w:p w14:paraId="6F42316D" w14:textId="77777777" w:rsidR="00746D40" w:rsidRPr="00746D40" w:rsidRDefault="00746D40" w:rsidP="00746D40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46D40">
        <w:rPr>
          <w:rFonts w:ascii="Times New Roman" w:hAnsi="Times New Roman"/>
          <w:b/>
          <w:sz w:val="24"/>
          <w:szCs w:val="24"/>
          <w:lang w:eastAsia="pt-BR"/>
        </w:rPr>
        <w:t>CAPÍTULO IV</w:t>
      </w:r>
    </w:p>
    <w:p w14:paraId="11CA19EE" w14:textId="77777777" w:rsidR="00746D40" w:rsidRPr="00746D40" w:rsidRDefault="00746D40" w:rsidP="00746D40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46D40">
        <w:rPr>
          <w:rFonts w:ascii="Times New Roman" w:hAnsi="Times New Roman"/>
          <w:b/>
          <w:sz w:val="24"/>
          <w:szCs w:val="24"/>
          <w:lang w:eastAsia="pt-BR"/>
        </w:rPr>
        <w:t>DAS MATÉRIAS-PRIMAS</w:t>
      </w:r>
    </w:p>
    <w:p w14:paraId="69A5D9AE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Art. 5º A identidade de um lote de matérias-primas deve ser assegurada por meio de coleta de amostras individuais de todos os recipientes.</w:t>
      </w:r>
    </w:p>
    <w:p w14:paraId="524AEC36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Parágrafo único. Os ensaios de identificação devem ser realizados em cada amostra individual.</w:t>
      </w:r>
    </w:p>
    <w:p w14:paraId="4CA187A5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Art. 6º É permitido amostrar apenas uma parte dos recipientes quando um procedimento de qualificação dos fabricantes e fornecedores garantir que nenhum recipiente de matérias-primas seja incorretamente rotulado.</w:t>
      </w:r>
    </w:p>
    <w:p w14:paraId="67F94687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§1° A qualificação prevista no caput deve considerar, pelo menos, os seguintes aspectos:</w:t>
      </w:r>
    </w:p>
    <w:p w14:paraId="67F9BA4A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I -</w:t>
      </w:r>
      <w:proofErr w:type="gramStart"/>
      <w:r w:rsidRPr="00746D40">
        <w:rPr>
          <w:rFonts w:ascii="Times New Roman" w:hAnsi="Times New Roman"/>
          <w:sz w:val="24"/>
          <w:szCs w:val="24"/>
          <w:lang w:eastAsia="pt-BR"/>
        </w:rPr>
        <w:t>a natureza e a condição</w:t>
      </w:r>
      <w:proofErr w:type="gramEnd"/>
      <w:r w:rsidRPr="00746D40">
        <w:rPr>
          <w:rFonts w:ascii="Times New Roman" w:hAnsi="Times New Roman"/>
          <w:sz w:val="24"/>
          <w:szCs w:val="24"/>
          <w:lang w:eastAsia="pt-BR"/>
        </w:rPr>
        <w:t xml:space="preserve"> da qualificação do fabricante e do fornecedor das matérias primas, e a compressão por esses estabelecimentos dos requisitos das Boas Práticas de Fabricação da indústria farmacêutica;</w:t>
      </w:r>
    </w:p>
    <w:p w14:paraId="5D5C1133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II -</w:t>
      </w:r>
      <w:proofErr w:type="gramStart"/>
      <w:r w:rsidRPr="00746D40">
        <w:rPr>
          <w:rFonts w:ascii="Times New Roman" w:hAnsi="Times New Roman"/>
          <w:sz w:val="24"/>
          <w:szCs w:val="24"/>
          <w:lang w:eastAsia="pt-BR"/>
        </w:rPr>
        <w:t>o</w:t>
      </w:r>
      <w:proofErr w:type="gramEnd"/>
      <w:r w:rsidRPr="00746D40">
        <w:rPr>
          <w:rFonts w:ascii="Times New Roman" w:hAnsi="Times New Roman"/>
          <w:sz w:val="24"/>
          <w:szCs w:val="24"/>
          <w:lang w:eastAsia="pt-BR"/>
        </w:rPr>
        <w:t xml:space="preserve"> sistema de garantia de qualidade do fabricante das matérias-primas;</w:t>
      </w:r>
    </w:p>
    <w:p w14:paraId="64297AC7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III -as condições de fabricação sob as quais as matérias-primas são produzidas e controladas;</w:t>
      </w:r>
    </w:p>
    <w:p w14:paraId="62570B97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IV -</w:t>
      </w:r>
      <w:proofErr w:type="gramStart"/>
      <w:r w:rsidRPr="00746D40">
        <w:rPr>
          <w:rFonts w:ascii="Times New Roman" w:hAnsi="Times New Roman"/>
          <w:sz w:val="24"/>
          <w:szCs w:val="24"/>
          <w:lang w:eastAsia="pt-BR"/>
        </w:rPr>
        <w:t>a</w:t>
      </w:r>
      <w:proofErr w:type="gramEnd"/>
      <w:r w:rsidRPr="00746D40">
        <w:rPr>
          <w:rFonts w:ascii="Times New Roman" w:hAnsi="Times New Roman"/>
          <w:sz w:val="24"/>
          <w:szCs w:val="24"/>
          <w:lang w:eastAsia="pt-BR"/>
        </w:rPr>
        <w:t xml:space="preserve"> natureza das matérias-primas e dos medicamentos em que serão utilizados.</w:t>
      </w:r>
    </w:p>
    <w:p w14:paraId="3C57D9E9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§2° Considerando a qualificação prevista no caput, é possível a isenção do teste de identificação em cada recipiente recebido de matéria-prima nos seguintes casos:</w:t>
      </w:r>
    </w:p>
    <w:p w14:paraId="5D2E14B9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lastRenderedPageBreak/>
        <w:t>I -matérias-primas oriundas de uma planta mono produtora;</w:t>
      </w:r>
    </w:p>
    <w:p w14:paraId="77606630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II -matérias-primas provenientes diretamente do fabricante ou em recipientes lacrados do fabricante, sempre que houver histórico de confiabilidade e sejam realizadas auditorias regulares no sistema de Garantia de Qualidade do fabricante do insumo pelo fabricante do medicamento ou organismo acreditado oficialmente.</w:t>
      </w:r>
    </w:p>
    <w:p w14:paraId="55D5D357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§3° É improvável que este procedimento possa ser satisfatoriamente validado para:</w:t>
      </w:r>
    </w:p>
    <w:p w14:paraId="4AA8485D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 xml:space="preserve">I -matérias-primas fornecidas por intermediários, tais como </w:t>
      </w:r>
      <w:proofErr w:type="gramStart"/>
      <w:r w:rsidRPr="00746D40">
        <w:rPr>
          <w:rFonts w:ascii="Times New Roman" w:hAnsi="Times New Roman"/>
          <w:sz w:val="24"/>
          <w:szCs w:val="24"/>
          <w:lang w:eastAsia="pt-BR"/>
        </w:rPr>
        <w:t xml:space="preserve">importadores,  </w:t>
      </w:r>
      <w:proofErr w:type="spellStart"/>
      <w:r w:rsidRPr="00746D40">
        <w:rPr>
          <w:rFonts w:ascii="Times New Roman" w:hAnsi="Times New Roman"/>
          <w:sz w:val="24"/>
          <w:szCs w:val="24"/>
          <w:lang w:eastAsia="pt-BR"/>
        </w:rPr>
        <w:t>fracionadores</w:t>
      </w:r>
      <w:proofErr w:type="spellEnd"/>
      <w:proofErr w:type="gramEnd"/>
      <w:r w:rsidRPr="00746D40">
        <w:rPr>
          <w:rFonts w:ascii="Times New Roman" w:hAnsi="Times New Roman"/>
          <w:sz w:val="24"/>
          <w:szCs w:val="24"/>
          <w:lang w:eastAsia="pt-BR"/>
        </w:rPr>
        <w:t xml:space="preserve"> e distribuidores, quando o fabricante é desconhecido ou não auditado pelo fabricante do medicamento;</w:t>
      </w:r>
    </w:p>
    <w:p w14:paraId="6184B298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II -matérias-primas utilizadas para produtos parenterais.</w:t>
      </w:r>
    </w:p>
    <w:p w14:paraId="2CC96F1B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Art. 7º A qualidade de um lote de matérias-primas pode ser atestada pela coleta e análise laboratorial de amostra representativa.</w:t>
      </w:r>
    </w:p>
    <w:p w14:paraId="5D42209F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§1° As amostras coletadas para testes de identidade podem ser usadas para esse propósito.</w:t>
      </w:r>
    </w:p>
    <w:p w14:paraId="0AA32705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§2° O número de amostras coletadas para a preparação de uma amostra representativa deve ser determinado estatisticamente e especificado em um plano de amostragem.</w:t>
      </w:r>
    </w:p>
    <w:p w14:paraId="628931B5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§3° O número de amostras individuais que podem ser misturadas para formar uma amostra composta deve ser definido levando em consideração a natureza do material, o conhecimento do fornecedor e a homogeneidade da amostra composta.</w:t>
      </w:r>
    </w:p>
    <w:p w14:paraId="38BB7D08" w14:textId="77777777" w:rsidR="00746D40" w:rsidRPr="00746D40" w:rsidRDefault="00746D40" w:rsidP="00746D40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46D40">
        <w:rPr>
          <w:rFonts w:ascii="Times New Roman" w:hAnsi="Times New Roman"/>
          <w:b/>
          <w:sz w:val="24"/>
          <w:szCs w:val="24"/>
          <w:lang w:eastAsia="pt-BR"/>
        </w:rPr>
        <w:t>CAPÍTULO V</w:t>
      </w:r>
    </w:p>
    <w:p w14:paraId="0205A965" w14:textId="77777777" w:rsidR="00746D40" w:rsidRPr="00746D40" w:rsidRDefault="00746D40" w:rsidP="00746D40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46D40">
        <w:rPr>
          <w:rFonts w:ascii="Times New Roman" w:hAnsi="Times New Roman"/>
          <w:b/>
          <w:sz w:val="24"/>
          <w:szCs w:val="24"/>
          <w:lang w:eastAsia="pt-BR"/>
        </w:rPr>
        <w:t>MATERIAL DE EMBALAGEM</w:t>
      </w:r>
    </w:p>
    <w:p w14:paraId="1AA8BB40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Art. 8º O plano de amostragem de materiais de embalagem deve levar em consideração, pelo menos, os seguintes itens:</w:t>
      </w:r>
    </w:p>
    <w:p w14:paraId="2B9DBAD4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I -</w:t>
      </w:r>
      <w:proofErr w:type="gramStart"/>
      <w:r w:rsidRPr="00746D40">
        <w:rPr>
          <w:rFonts w:ascii="Times New Roman" w:hAnsi="Times New Roman"/>
          <w:sz w:val="24"/>
          <w:szCs w:val="24"/>
          <w:lang w:eastAsia="pt-BR"/>
        </w:rPr>
        <w:t>a</w:t>
      </w:r>
      <w:proofErr w:type="gramEnd"/>
      <w:r w:rsidRPr="00746D40">
        <w:rPr>
          <w:rFonts w:ascii="Times New Roman" w:hAnsi="Times New Roman"/>
          <w:sz w:val="24"/>
          <w:szCs w:val="24"/>
          <w:lang w:eastAsia="pt-BR"/>
        </w:rPr>
        <w:t xml:space="preserve"> quantidade recebida;</w:t>
      </w:r>
    </w:p>
    <w:p w14:paraId="1A2EAFC2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II -</w:t>
      </w:r>
      <w:proofErr w:type="gramStart"/>
      <w:r w:rsidRPr="00746D40">
        <w:rPr>
          <w:rFonts w:ascii="Times New Roman" w:hAnsi="Times New Roman"/>
          <w:sz w:val="24"/>
          <w:szCs w:val="24"/>
          <w:lang w:eastAsia="pt-BR"/>
        </w:rPr>
        <w:t>a</w:t>
      </w:r>
      <w:proofErr w:type="gramEnd"/>
      <w:r w:rsidRPr="00746D40">
        <w:rPr>
          <w:rFonts w:ascii="Times New Roman" w:hAnsi="Times New Roman"/>
          <w:sz w:val="24"/>
          <w:szCs w:val="24"/>
          <w:lang w:eastAsia="pt-BR"/>
        </w:rPr>
        <w:t xml:space="preserve"> qualidade requerida;</w:t>
      </w:r>
    </w:p>
    <w:p w14:paraId="01158CE8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III -a natureza do material (por exemplo: materiais de embalagem primários ou materiais de embalagem impressos);</w:t>
      </w:r>
    </w:p>
    <w:p w14:paraId="7A555512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IV -</w:t>
      </w:r>
      <w:proofErr w:type="gramStart"/>
      <w:r w:rsidRPr="00746D40">
        <w:rPr>
          <w:rFonts w:ascii="Times New Roman" w:hAnsi="Times New Roman"/>
          <w:sz w:val="24"/>
          <w:szCs w:val="24"/>
          <w:lang w:eastAsia="pt-BR"/>
        </w:rPr>
        <w:t>os</w:t>
      </w:r>
      <w:proofErr w:type="gramEnd"/>
      <w:r w:rsidRPr="00746D40">
        <w:rPr>
          <w:rFonts w:ascii="Times New Roman" w:hAnsi="Times New Roman"/>
          <w:sz w:val="24"/>
          <w:szCs w:val="24"/>
          <w:lang w:eastAsia="pt-BR"/>
        </w:rPr>
        <w:t xml:space="preserve"> métodos de produção;</w:t>
      </w:r>
    </w:p>
    <w:p w14:paraId="2C91E449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V -</w:t>
      </w:r>
      <w:proofErr w:type="gramStart"/>
      <w:r w:rsidRPr="00746D40">
        <w:rPr>
          <w:rFonts w:ascii="Times New Roman" w:hAnsi="Times New Roman"/>
          <w:sz w:val="24"/>
          <w:szCs w:val="24"/>
          <w:lang w:eastAsia="pt-BR"/>
        </w:rPr>
        <w:t>o</w:t>
      </w:r>
      <w:proofErr w:type="gramEnd"/>
      <w:r w:rsidRPr="00746D40">
        <w:rPr>
          <w:rFonts w:ascii="Times New Roman" w:hAnsi="Times New Roman"/>
          <w:sz w:val="24"/>
          <w:szCs w:val="24"/>
          <w:lang w:eastAsia="pt-BR"/>
        </w:rPr>
        <w:t xml:space="preserve"> conhecimento do sistema de Garantia da Qualidade do fabricante de materiais de embalagem com base em auditorias.</w:t>
      </w:r>
    </w:p>
    <w:p w14:paraId="00F08BA6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Art. 9º O número de amostras coletadas deve ser determinado estatisticamente e especificado em um plano de amostragem.</w:t>
      </w:r>
    </w:p>
    <w:p w14:paraId="540F138C" w14:textId="77777777" w:rsidR="00746D40" w:rsidRPr="00746D40" w:rsidRDefault="00746D40" w:rsidP="00746D40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46D40">
        <w:rPr>
          <w:rFonts w:ascii="Times New Roman" w:hAnsi="Times New Roman"/>
          <w:b/>
          <w:sz w:val="24"/>
          <w:szCs w:val="24"/>
          <w:lang w:eastAsia="pt-BR"/>
        </w:rPr>
        <w:lastRenderedPageBreak/>
        <w:t>CAPÍTULO VI</w:t>
      </w:r>
    </w:p>
    <w:p w14:paraId="3E473851" w14:textId="77777777" w:rsidR="00746D40" w:rsidRPr="00746D40" w:rsidRDefault="00746D40" w:rsidP="00746D40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46D40">
        <w:rPr>
          <w:rFonts w:ascii="Times New Roman" w:hAnsi="Times New Roman"/>
          <w:b/>
          <w:sz w:val="24"/>
          <w:szCs w:val="24"/>
          <w:lang w:eastAsia="pt-BR"/>
        </w:rPr>
        <w:t>DISPOSIÇÕES FINAIS</w:t>
      </w:r>
    </w:p>
    <w:p w14:paraId="764ACCE0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>Art. 10.O descumprimento das disposições contidas nesta Instrução Normativa constitui infração sanitária, nos termos da Lei nº. 6.437, de 20 de agosto de 1977, sem prejuízo das responsabilidades civil, administrativa e penal cabíveis.</w:t>
      </w:r>
    </w:p>
    <w:p w14:paraId="54443215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746D40">
        <w:rPr>
          <w:rFonts w:ascii="Times New Roman" w:hAnsi="Times New Roman"/>
          <w:sz w:val="24"/>
          <w:szCs w:val="24"/>
          <w:lang w:eastAsia="pt-BR"/>
        </w:rPr>
        <w:t xml:space="preserve">Art. </w:t>
      </w:r>
      <w:proofErr w:type="gramStart"/>
      <w:r w:rsidRPr="00746D40">
        <w:rPr>
          <w:rFonts w:ascii="Times New Roman" w:hAnsi="Times New Roman"/>
          <w:sz w:val="24"/>
          <w:szCs w:val="24"/>
          <w:lang w:eastAsia="pt-BR"/>
        </w:rPr>
        <w:t>11.Esta</w:t>
      </w:r>
      <w:proofErr w:type="gramEnd"/>
      <w:r w:rsidRPr="00746D40">
        <w:rPr>
          <w:rFonts w:ascii="Times New Roman" w:hAnsi="Times New Roman"/>
          <w:sz w:val="24"/>
          <w:szCs w:val="24"/>
          <w:lang w:eastAsia="pt-BR"/>
        </w:rPr>
        <w:t xml:space="preserve"> Instrução Normativa entra em vigor 45 (quarenta e cinco) dias após sua publicação.</w:t>
      </w:r>
    </w:p>
    <w:p w14:paraId="6629F624" w14:textId="77777777" w:rsidR="00746D40" w:rsidRDefault="00746D40" w:rsidP="00746D40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0496F5B7" w14:textId="3A3D8BD3" w:rsidR="00746D40" w:rsidRPr="00746D40" w:rsidRDefault="00746D40" w:rsidP="00746D40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46D40">
        <w:rPr>
          <w:rFonts w:ascii="Times New Roman" w:hAnsi="Times New Roman"/>
          <w:b/>
          <w:sz w:val="24"/>
          <w:szCs w:val="24"/>
          <w:lang w:eastAsia="pt-BR"/>
        </w:rPr>
        <w:t>WILLIAM DIB</w:t>
      </w:r>
    </w:p>
    <w:p w14:paraId="1E231E25" w14:textId="53126AC5" w:rsidR="00C8735A" w:rsidRPr="00746D40" w:rsidRDefault="00746D40" w:rsidP="00746D40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746D40">
        <w:rPr>
          <w:rFonts w:ascii="Times New Roman" w:hAnsi="Times New Roman"/>
          <w:b/>
          <w:sz w:val="24"/>
          <w:szCs w:val="24"/>
          <w:lang w:eastAsia="pt-BR"/>
        </w:rPr>
        <w:t>Diretor-Presidente</w:t>
      </w:r>
      <w:bookmarkStart w:id="0" w:name="_GoBack"/>
      <w:bookmarkEnd w:id="0"/>
    </w:p>
    <w:sectPr w:rsidR="00C8735A" w:rsidRPr="00746D4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4E945" w14:textId="77777777" w:rsidR="00112D5D" w:rsidRDefault="00112D5D" w:rsidP="00487041">
      <w:pPr>
        <w:spacing w:after="0" w:line="240" w:lineRule="auto"/>
      </w:pPr>
      <w:r>
        <w:separator/>
      </w:r>
    </w:p>
  </w:endnote>
  <w:endnote w:type="continuationSeparator" w:id="0">
    <w:p w14:paraId="44C80DC5" w14:textId="77777777" w:rsidR="00112D5D" w:rsidRDefault="00112D5D" w:rsidP="00487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FADE9" w14:textId="77777777" w:rsidR="00487041" w:rsidRDefault="00487041" w:rsidP="00487041">
    <w:pPr>
      <w:pStyle w:val="Rodap"/>
      <w:jc w:val="center"/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F8777" w14:textId="77777777" w:rsidR="00112D5D" w:rsidRDefault="00112D5D" w:rsidP="00487041">
      <w:pPr>
        <w:spacing w:after="0" w:line="240" w:lineRule="auto"/>
      </w:pPr>
      <w:r>
        <w:separator/>
      </w:r>
    </w:p>
  </w:footnote>
  <w:footnote w:type="continuationSeparator" w:id="0">
    <w:p w14:paraId="7028C96C" w14:textId="77777777" w:rsidR="00112D5D" w:rsidRDefault="00112D5D" w:rsidP="00487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ED03A" w14:textId="77777777" w:rsidR="00487041" w:rsidRPr="0018049F" w:rsidRDefault="00487041" w:rsidP="0048704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18F2F518" wp14:editId="3BB15D14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673583" w14:textId="77777777" w:rsidR="00487041" w:rsidRPr="0018049F" w:rsidRDefault="00487041" w:rsidP="0048704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14:paraId="5F228A00" w14:textId="4D33F375" w:rsidR="00487041" w:rsidRDefault="00487041" w:rsidP="00746D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14:paraId="5D0FA48C" w14:textId="77777777" w:rsidR="00746D40" w:rsidRDefault="00746D40" w:rsidP="00746D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B8"/>
    <w:rsid w:val="00105C8E"/>
    <w:rsid w:val="00112D5D"/>
    <w:rsid w:val="001E4A1F"/>
    <w:rsid w:val="0020792A"/>
    <w:rsid w:val="002913CD"/>
    <w:rsid w:val="00382EB8"/>
    <w:rsid w:val="003F091E"/>
    <w:rsid w:val="004347BE"/>
    <w:rsid w:val="00447971"/>
    <w:rsid w:val="00487041"/>
    <w:rsid w:val="005B09B2"/>
    <w:rsid w:val="00746D40"/>
    <w:rsid w:val="00770A03"/>
    <w:rsid w:val="008623D7"/>
    <w:rsid w:val="00AC2C32"/>
    <w:rsid w:val="00C053FB"/>
    <w:rsid w:val="00C8735A"/>
    <w:rsid w:val="00D243D3"/>
    <w:rsid w:val="00F67C65"/>
    <w:rsid w:val="00FA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A5C3F3"/>
  <w14:defaultImageDpi w14:val="0"/>
  <w15:docId w15:val="{366E4D02-A151-48D7-80BC-7F3C2951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centralizado">
    <w:name w:val="tabela_texto_centralizado"/>
    <w:basedOn w:val="Normal"/>
    <w:rsid w:val="00382EB8"/>
    <w:pPr>
      <w:spacing w:after="0" w:line="240" w:lineRule="auto"/>
      <w:ind w:left="60" w:right="60"/>
      <w:jc w:val="center"/>
    </w:pPr>
    <w:rPr>
      <w:rFonts w:ascii="Calibri" w:hAnsi="Calibri" w:cs="Calibri"/>
      <w:lang w:eastAsia="pt-BR"/>
    </w:rPr>
  </w:style>
  <w:style w:type="paragraph" w:customStyle="1" w:styleId="textocentralizado">
    <w:name w:val="texto_centralizado"/>
    <w:basedOn w:val="Normal"/>
    <w:rsid w:val="00382EB8"/>
    <w:pPr>
      <w:spacing w:before="120" w:after="120" w:line="240" w:lineRule="auto"/>
      <w:ind w:left="120" w:right="120"/>
      <w:jc w:val="center"/>
    </w:pPr>
    <w:rPr>
      <w:rFonts w:ascii="Calibri" w:hAnsi="Calibri" w:cs="Calibri"/>
      <w:sz w:val="24"/>
      <w:szCs w:val="24"/>
      <w:lang w:eastAsia="pt-BR"/>
    </w:rPr>
  </w:style>
  <w:style w:type="paragraph" w:customStyle="1" w:styleId="textocentralizadoespacamentosimples">
    <w:name w:val="texto_centralizado_espacamento_simples"/>
    <w:basedOn w:val="Normal"/>
    <w:rsid w:val="00382EB8"/>
    <w:pPr>
      <w:spacing w:after="0" w:line="240" w:lineRule="auto"/>
      <w:jc w:val="center"/>
    </w:pPr>
    <w:rPr>
      <w:rFonts w:ascii="Calibri" w:hAnsi="Calibri" w:cs="Calibri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382EB8"/>
    <w:pPr>
      <w:spacing w:before="100" w:beforeAutospacing="1" w:after="100" w:afterAutospacing="1" w:line="240" w:lineRule="auto"/>
      <w:jc w:val="center"/>
    </w:pPr>
    <w:rPr>
      <w:rFonts w:ascii="Calibri" w:hAnsi="Calibri" w:cs="Calibri"/>
      <w:caps/>
      <w:sz w:val="26"/>
      <w:szCs w:val="26"/>
      <w:lang w:eastAsia="pt-BR"/>
    </w:rPr>
  </w:style>
  <w:style w:type="paragraph" w:customStyle="1" w:styleId="textocentralizadomaiusculasnegrito">
    <w:name w:val="texto_centralizado_maiusculas_negrito"/>
    <w:basedOn w:val="Normal"/>
    <w:rsid w:val="00382EB8"/>
    <w:pPr>
      <w:spacing w:before="100" w:beforeAutospacing="1" w:after="100" w:afterAutospacing="1" w:line="240" w:lineRule="auto"/>
      <w:jc w:val="center"/>
    </w:pPr>
    <w:rPr>
      <w:rFonts w:ascii="Calibri" w:hAnsi="Calibri" w:cs="Calibri"/>
      <w:b/>
      <w:bCs/>
      <w:caps/>
      <w:sz w:val="26"/>
      <w:szCs w:val="26"/>
      <w:lang w:eastAsia="pt-BR"/>
    </w:rPr>
  </w:style>
  <w:style w:type="paragraph" w:customStyle="1" w:styleId="textojustificadoespacamentosimples">
    <w:name w:val="texto_justificado_espacamento_simples"/>
    <w:basedOn w:val="Normal"/>
    <w:rsid w:val="00382EB8"/>
    <w:pPr>
      <w:spacing w:after="0" w:line="240" w:lineRule="auto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recuoprimeiralinha">
    <w:name w:val="texto_justificado_recuo_primeira_linha"/>
    <w:basedOn w:val="Normal"/>
    <w:rsid w:val="00382EB8"/>
    <w:pPr>
      <w:spacing w:before="120" w:after="120" w:line="240" w:lineRule="auto"/>
      <w:ind w:left="120" w:right="120" w:firstLine="1418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recuoprimeiralinhaespsimples">
    <w:name w:val="texto_justificado_recuo_primeira_linha_esp_simples"/>
    <w:basedOn w:val="Normal"/>
    <w:rsid w:val="00382EB8"/>
    <w:pPr>
      <w:spacing w:after="0" w:line="240" w:lineRule="auto"/>
      <w:ind w:left="120" w:firstLine="1418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2EB8"/>
    <w:rPr>
      <w:rFonts w:cs="Times New Roman"/>
      <w:b/>
      <w:bCs/>
    </w:rPr>
  </w:style>
  <w:style w:type="character" w:styleId="nfase">
    <w:name w:val="Emphasis"/>
    <w:basedOn w:val="Fontepargpadro"/>
    <w:uiPriority w:val="20"/>
    <w:qFormat/>
    <w:rsid w:val="00382EB8"/>
    <w:rPr>
      <w:rFonts w:cs="Times New Roman"/>
      <w:i/>
      <w:iCs/>
    </w:rPr>
  </w:style>
  <w:style w:type="paragraph" w:styleId="NormalWeb">
    <w:name w:val="Normal (Web)"/>
    <w:basedOn w:val="Normal"/>
    <w:uiPriority w:val="99"/>
    <w:semiHidden/>
    <w:unhideWhenUsed/>
    <w:rsid w:val="00382EB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870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7041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870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041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487041"/>
    <w:pPr>
      <w:spacing w:after="200" w:line="288" w:lineRule="auto"/>
      <w:ind w:left="720"/>
      <w:contextualSpacing/>
    </w:pPr>
    <w:rPr>
      <w:rFonts w:eastAsiaTheme="minorEastAsia" w:cstheme="minorBidi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4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43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9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d13520f7afea584a442bcf0a4b820550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287fa860e9c7c0e1cfc7905ee03ebc68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C89795-4725-4CF3-ADA8-04DB61E01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784E8C-D06C-4D8A-96B5-94991828A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63A86-F1D4-4C61-A818-B07215797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889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Raianne Liberal Coutinho</cp:lastModifiedBy>
  <cp:revision>4</cp:revision>
  <cp:lastPrinted>2019-08-22T12:37:00Z</cp:lastPrinted>
  <dcterms:created xsi:type="dcterms:W3CDTF">2019-08-22T13:03:00Z</dcterms:created>
  <dcterms:modified xsi:type="dcterms:W3CDTF">2019-08-22T13:05:00Z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