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D9D7" w14:textId="6DE908FD" w:rsidR="00732FAE" w:rsidRPr="007B07BC" w:rsidRDefault="00732FAE" w:rsidP="007B07B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07BC">
        <w:rPr>
          <w:rFonts w:ascii="Times New Roman" w:hAnsi="Times New Roman"/>
          <w:b/>
          <w:sz w:val="24"/>
          <w:szCs w:val="24"/>
        </w:rPr>
        <w:t xml:space="preserve">INSTRUÇÃO NORMATIVA - IN Nº </w:t>
      </w:r>
      <w:r w:rsidR="0007447C" w:rsidRPr="007B07BC">
        <w:rPr>
          <w:rFonts w:ascii="Times New Roman" w:hAnsi="Times New Roman"/>
          <w:b/>
          <w:sz w:val="24"/>
          <w:szCs w:val="24"/>
        </w:rPr>
        <w:t>4</w:t>
      </w:r>
      <w:r w:rsidR="00270A7C">
        <w:rPr>
          <w:rFonts w:ascii="Times New Roman" w:hAnsi="Times New Roman"/>
          <w:b/>
          <w:sz w:val="24"/>
          <w:szCs w:val="24"/>
        </w:rPr>
        <w:t>8</w:t>
      </w:r>
      <w:r w:rsidR="0007447C" w:rsidRPr="007B07BC">
        <w:rPr>
          <w:rFonts w:ascii="Times New Roman" w:hAnsi="Times New Roman"/>
          <w:b/>
          <w:sz w:val="24"/>
          <w:szCs w:val="24"/>
        </w:rPr>
        <w:t xml:space="preserve">, DE 21 DE </w:t>
      </w:r>
      <w:r w:rsidR="004A3271" w:rsidRPr="007B07BC">
        <w:rPr>
          <w:rFonts w:ascii="Times New Roman" w:hAnsi="Times New Roman"/>
          <w:b/>
          <w:sz w:val="24"/>
          <w:szCs w:val="24"/>
        </w:rPr>
        <w:t>AGOSTO DE 2019</w:t>
      </w:r>
    </w:p>
    <w:p w14:paraId="7002ECA6" w14:textId="2860ACB8" w:rsidR="005501EC" w:rsidRPr="007B07BC" w:rsidRDefault="005501EC" w:rsidP="007B07BC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7B07BC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CA1660" w:rsidRPr="007B07BC">
        <w:rPr>
          <w:rFonts w:ascii="Times New Roman" w:hAnsi="Times New Roman"/>
          <w:b/>
          <w:color w:val="0000FF"/>
          <w:sz w:val="24"/>
          <w:szCs w:val="24"/>
        </w:rPr>
        <w:t>162, de 22 de agosto de 2019)</w:t>
      </w:r>
    </w:p>
    <w:p w14:paraId="5FC42F32" w14:textId="77777777" w:rsidR="00244E75" w:rsidRDefault="00244E75" w:rsidP="00244E75">
      <w:pPr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Dispõe sobre as Boas Práticas de Fabricação complementares às amostras de referência e de retenção.</w:t>
      </w:r>
    </w:p>
    <w:p w14:paraId="56320585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 Diretoria Colegiada da Agência Nacional de Vigilância Sanitária, no uso das atribuições que lhe confere o art. 15, III e IV, aliado ao art. 7º, III e IV da Lei nº 9.782, de 26 de janeiro de 1999, e ao art. 53, VI, §§ 1º e 3º do Regimento Interno aprovado pela Resolução da Diretoria Colegiada - RDC n° 255, de 10 de dezembro de 2018, em reunião realizada em 20 de agosto de 2019, resolve:</w:t>
      </w:r>
    </w:p>
    <w:p w14:paraId="63E80D2E" w14:textId="34A26CBB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CAPÍTULO I</w:t>
      </w:r>
    </w:p>
    <w:p w14:paraId="2E250B33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DAS DISPOSIÇÕES INICIAIS</w:t>
      </w:r>
    </w:p>
    <w:p w14:paraId="0B005F94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I</w:t>
      </w:r>
    </w:p>
    <w:p w14:paraId="67DCEF32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Do objetivo</w:t>
      </w:r>
    </w:p>
    <w:p w14:paraId="55CF8E63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1º Esta Instrução Normativa possui o objetivo de adotar as diretrizes de Boas Práticas de Fabricação relacionadas às amostras de referência e de retenção do Esquema de Cooperação em Inspeção Farmacêutica, PIC/S, como requisitos complementares a serem seguidos na fabricação de medicamentos, em adição às Diretrizes Gerais de Boas Práticas de Fabricação de Medicamentos.</w:t>
      </w:r>
    </w:p>
    <w:p w14:paraId="49A8E7E0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II</w:t>
      </w:r>
    </w:p>
    <w:p w14:paraId="6F0A813B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 abrangência</w:t>
      </w:r>
    </w:p>
    <w:p w14:paraId="5D041C92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2º Esta Instrução Normativa se aplica às empresas que realizam as operações envolvidas na fabricação de medicamentos.</w:t>
      </w:r>
    </w:p>
    <w:p w14:paraId="6A71F359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3º Esta Instrução Normativa estabelece os requisitos para a coleta e a guarda de amostras de referência de matérias-primas, materiais de embalagem ou produtos acabados; e de amostras de retenção de produtos acabados.</w:t>
      </w:r>
    </w:p>
    <w:p w14:paraId="3A78231E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III</w:t>
      </w:r>
    </w:p>
    <w:p w14:paraId="52CC3C39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Das definições</w:t>
      </w:r>
    </w:p>
    <w:p w14:paraId="3E18323F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4º Para efeitos desta Instrução Normativa, são adotadas as seguintes definições:</w:t>
      </w:r>
    </w:p>
    <w:p w14:paraId="4AA71264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I -amostra de referência: amostras de um lote de matérias-primas, material de embalagem ou medicamento na sua embalagem primária que são armazenadas com o propósito de serem analisadas, se necessário, durante o prazo de validade do produto;</w:t>
      </w:r>
    </w:p>
    <w:p w14:paraId="3BA2BF41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lastRenderedPageBreak/>
        <w:t>II -amostra de retenção: amostras de um lote totalmente embalado de um medicamento, com todos seus componentes necessários para a venda ao consumidor, tais como embalagem secundária da apresentação, rotulagem, bulas, gravações dos dados variáveis, que são armazenadas para fins de identificação.</w:t>
      </w:r>
    </w:p>
    <w:p w14:paraId="6949BE13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CAPÍTULO II</w:t>
      </w:r>
    </w:p>
    <w:p w14:paraId="6CCDAC4F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DAS DISPOSIÇÕES GERAIS</w:t>
      </w:r>
    </w:p>
    <w:p w14:paraId="2162482F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I</w:t>
      </w:r>
    </w:p>
    <w:p w14:paraId="7A778B85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 introdução</w:t>
      </w:r>
    </w:p>
    <w:p w14:paraId="527D79CD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5º Nos casos em que a estabilidade permite, amostras de referência devem ser armazenadas para os intermediários críticos que requeiram análise e liberação, ou para os intermediários que sejam transportados para fora do estabelecimento.</w:t>
      </w:r>
    </w:p>
    <w:p w14:paraId="2AEE48D6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6º No caso de produtos finalizados, em muitas situações, as amostras de referência e de retenção tem a mesma apresentação e podem ser consideradas intercambiáveis.</w:t>
      </w:r>
    </w:p>
    <w:p w14:paraId="513C3494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7º É obrigação do fabricante, importador ou do local de liberação do lote manter amostras de referência e/ou retenção para cada lote de produto finalizado e, para o fabricante manter amostras de referência dos lotes de matérias-primas e/ ou intermediários.</w:t>
      </w:r>
    </w:p>
    <w:p w14:paraId="7EEDCCB3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8º Cada local de embalagem deve manter amostras de referência de cada lote dos materiais de embalagem primários e impressos.</w:t>
      </w:r>
    </w:p>
    <w:p w14:paraId="11930EF5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A disponibilização dos materiais de embalagem impressos como parte constituinte das amostras de referência e/ ou retenção do produto finalizado é aceitável.</w:t>
      </w:r>
    </w:p>
    <w:p w14:paraId="441F49D1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9º As amostras de referência e/ou retenção são um registro do lote do produto finalizado ou das matérias-primas e podem ser acessadas em situações, tais como reclamações relacionadas à concentração, questionamentos relacionados à conformidade com o registro sanitário ou relacionados à embalagem/ rotulagem, ou nos relatórios de farmacovigilância.</w:t>
      </w:r>
    </w:p>
    <w:p w14:paraId="308651CD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10. Os registros referentes à rastreabilidade de uso e estocagem das amostras devem ser mantidos e estar disponíveis para a revisão das autoridades sanitárias.</w:t>
      </w:r>
    </w:p>
    <w:p w14:paraId="34F72417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II</w:t>
      </w:r>
    </w:p>
    <w:p w14:paraId="16723005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 duração do armazenamento</w:t>
      </w:r>
    </w:p>
    <w:p w14:paraId="38ADDD2C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11. As amostras de referência e/ou retenção de cada lote de produto finalizado devem ser mantidas por, pelo menos, um ano após a data de expiração.</w:t>
      </w:r>
    </w:p>
    <w:p w14:paraId="35A5C485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lastRenderedPageBreak/>
        <w:t>Parágrafo único. A amostra de referência deve estar contida na embalagem primária ou em embalagens compostas pelo mesmo material que a embalagem primária onde o produto é comercializado.</w:t>
      </w:r>
    </w:p>
    <w:p w14:paraId="12936C1D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12. As amostras de matérias-primas que não sejam solventes, gases ou água utilizados no processo de fabricação de um medicamento devem ser retidas por, pelo menos, dois anos após a liberação do lote do medicamento.</w:t>
      </w:r>
    </w:p>
    <w:p w14:paraId="0C4C5A28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Esse período pode ser reduzido se a estabilidade do material, conforme indicado nas especificações relevantes, for menor.</w:t>
      </w:r>
    </w:p>
    <w:p w14:paraId="0503B98F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 xml:space="preserve">Art. 13. As amostras dos materiais de embalagem devem ser </w:t>
      </w:r>
      <w:proofErr w:type="gramStart"/>
      <w:r w:rsidRPr="00244E75">
        <w:rPr>
          <w:rFonts w:ascii="Times New Roman" w:hAnsi="Times New Roman"/>
          <w:sz w:val="24"/>
          <w:szCs w:val="24"/>
        </w:rPr>
        <w:t>mantidos</w:t>
      </w:r>
      <w:proofErr w:type="gramEnd"/>
      <w:r w:rsidRPr="00244E75">
        <w:rPr>
          <w:rFonts w:ascii="Times New Roman" w:hAnsi="Times New Roman"/>
          <w:sz w:val="24"/>
          <w:szCs w:val="24"/>
        </w:rPr>
        <w:t xml:space="preserve"> durante o período de validade do medicamento em que foram utilizadas.</w:t>
      </w:r>
    </w:p>
    <w:p w14:paraId="6C1F5EDF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III</w:t>
      </w:r>
    </w:p>
    <w:p w14:paraId="432B5DAD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 quantidade das amostras de referência e retenção</w:t>
      </w:r>
    </w:p>
    <w:p w14:paraId="2E1653DE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14. A amostra de referência deve ser de um tamanho suficiente para permitir a realização, em ocasiões distintas, de dois controles analíticos completos do lote, em conformidade com o registro sanitário do país onde está situado o local de fabricação.</w:t>
      </w:r>
    </w:p>
    <w:p w14:paraId="4997E203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15. As quantidades devem ser planejadas para que os testes analíticos possam ser executados a partir de embalagens não abertas.</w:t>
      </w:r>
    </w:p>
    <w:p w14:paraId="37D17100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Qualquer exceção ao previsto no caput e no § 1º deve ser tecnicamente justificada e aprovada com a autoridade sanitária competente.</w:t>
      </w:r>
    </w:p>
    <w:p w14:paraId="06ABA7AC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16. As amostras de referência devem ser representativas dos lotes de matérias-primas, produtos intermediários ou produtos finalizados de onde foram coletadas.</w:t>
      </w:r>
    </w:p>
    <w:p w14:paraId="13BE5688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Amostras adicionais podem ser necessárias para monitorar etapas estressantes de um processo, tais como do início e do fim de um processo.</w:t>
      </w:r>
    </w:p>
    <w:p w14:paraId="01D3EE39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17. Quando um lote for embalado em duas ou mais operações distintas de embalagem, pelo menos uma amostra de retenção deve ser retirada de cada operação individual de embalagem.</w:t>
      </w:r>
    </w:p>
    <w:p w14:paraId="32354DF6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Qualquer exceção a este requisito deve ser justificada tecnicamente e acordada com a autoridade sanitária.</w:t>
      </w:r>
    </w:p>
    <w:p w14:paraId="09AAA89E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18. Deve-se assegurar a manutenção de uma capacidade analítica prontamente disponível para realização dos ensaios especificados pelo período de até um ano após a expiração do último lote fabricado.</w:t>
      </w:r>
    </w:p>
    <w:p w14:paraId="1CEF429A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IV</w:t>
      </w:r>
    </w:p>
    <w:p w14:paraId="7635D567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Das condições de armazenamento</w:t>
      </w:r>
    </w:p>
    <w:p w14:paraId="5F4B4AF0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lastRenderedPageBreak/>
        <w:t>Art. 19. As condições de armazenamento devem estar de acordo com o registro sanitário do país onde está situado o local de fabricação.</w:t>
      </w:r>
    </w:p>
    <w:p w14:paraId="570EA0C9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V</w:t>
      </w:r>
    </w:p>
    <w:p w14:paraId="02CC7C63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Dos acordos de qualidade</w:t>
      </w:r>
    </w:p>
    <w:p w14:paraId="050AFD1D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244E75">
        <w:rPr>
          <w:rFonts w:ascii="Times New Roman" w:hAnsi="Times New Roman"/>
          <w:sz w:val="24"/>
          <w:szCs w:val="24"/>
        </w:rPr>
        <w:t>20.Nos</w:t>
      </w:r>
      <w:proofErr w:type="gramEnd"/>
      <w:r w:rsidRPr="00244E75">
        <w:rPr>
          <w:rFonts w:ascii="Times New Roman" w:hAnsi="Times New Roman"/>
          <w:sz w:val="24"/>
          <w:szCs w:val="24"/>
        </w:rPr>
        <w:t xml:space="preserve"> casos em que o detentor do registro não seja o mesmo estabelecimento responsável pela liberação do lote, a responsabilidade pela coleta e armazenamento das amostras de referência/retenção deve ser definida por meio de um acordo técnico entre as partes.</w:t>
      </w:r>
    </w:p>
    <w:p w14:paraId="401EEAC3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O disposto também se aplica nos casos em que qualquer atividade de fabricação ou de liberação de lotes seja executada por um estabelecimento que não aquele com responsabilidade geral sobre o lote.</w:t>
      </w:r>
    </w:p>
    <w:p w14:paraId="0635C9FB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21. A Pessoa Delegada pelo Sistema de Gestão da Qualidade Farmacêutica pela liberação de um lote para venda deve garantir que todas as amostras de referência e retenção pertinentes estejam acessíveis em um prazo razoável de tempo.</w:t>
      </w:r>
    </w:p>
    <w:p w14:paraId="37677562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Quando aplicável, as disposições relativas ao acesso previsto no caput devem ser definidas em contrato.</w:t>
      </w:r>
    </w:p>
    <w:p w14:paraId="52F7DBAD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22. Nas situações em que mais de um estabelecimento estiver envolvido na fabricação do produto, devem estar disponíveis acordos escritos para o controle da retirada e localização das amostras de referência/retenção.</w:t>
      </w:r>
    </w:p>
    <w:p w14:paraId="4F4E2BB4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VI</w:t>
      </w:r>
    </w:p>
    <w:p w14:paraId="73857971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Das generalidades em relação às amostras de referência</w:t>
      </w:r>
    </w:p>
    <w:p w14:paraId="2C02E922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 xml:space="preserve">Art. 23. As amostras de referência possuem finalidade analítica e, por consequência, devem estar convenientemente disponíveis para o laboratório que </w:t>
      </w:r>
      <w:proofErr w:type="spellStart"/>
      <w:r w:rsidRPr="00244E75">
        <w:rPr>
          <w:rFonts w:ascii="Times New Roman" w:hAnsi="Times New Roman"/>
          <w:sz w:val="24"/>
          <w:szCs w:val="24"/>
        </w:rPr>
        <w:t>detem</w:t>
      </w:r>
      <w:proofErr w:type="spellEnd"/>
      <w:r w:rsidRPr="00244E75">
        <w:rPr>
          <w:rFonts w:ascii="Times New Roman" w:hAnsi="Times New Roman"/>
          <w:sz w:val="24"/>
          <w:szCs w:val="24"/>
        </w:rPr>
        <w:t xml:space="preserve"> a metodologia validada para seu teste.</w:t>
      </w:r>
    </w:p>
    <w:p w14:paraId="3832CF81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§1</w:t>
      </w:r>
      <w:proofErr w:type="gramStart"/>
      <w:r w:rsidRPr="00244E75">
        <w:rPr>
          <w:rFonts w:ascii="Times New Roman" w:hAnsi="Times New Roman"/>
          <w:sz w:val="24"/>
          <w:szCs w:val="24"/>
        </w:rPr>
        <w:t>º  Em</w:t>
      </w:r>
      <w:proofErr w:type="gramEnd"/>
      <w:r w:rsidRPr="00244E75">
        <w:rPr>
          <w:rFonts w:ascii="Times New Roman" w:hAnsi="Times New Roman"/>
          <w:sz w:val="24"/>
          <w:szCs w:val="24"/>
        </w:rPr>
        <w:t xml:space="preserve"> se tratando das amostras de referência de matérias-primas e materiais de embalagem utilizados na fabricação de medicamentos, o armazenamento deve corresponder ao local de fabricação do medicamento.</w:t>
      </w:r>
    </w:p>
    <w:p w14:paraId="16B7B3AF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§2</w:t>
      </w:r>
      <w:proofErr w:type="gramStart"/>
      <w:r w:rsidRPr="00244E75">
        <w:rPr>
          <w:rFonts w:ascii="Times New Roman" w:hAnsi="Times New Roman"/>
          <w:sz w:val="24"/>
          <w:szCs w:val="24"/>
        </w:rPr>
        <w:t>º  Em</w:t>
      </w:r>
      <w:proofErr w:type="gramEnd"/>
      <w:r w:rsidRPr="00244E75">
        <w:rPr>
          <w:rFonts w:ascii="Times New Roman" w:hAnsi="Times New Roman"/>
          <w:sz w:val="24"/>
          <w:szCs w:val="24"/>
        </w:rPr>
        <w:t xml:space="preserve"> se tratando de amostras de referência de produtos finalizados, o armazenamento deve corresponder ao local original de fabricação.</w:t>
      </w:r>
    </w:p>
    <w:p w14:paraId="2C05A412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VII</w:t>
      </w:r>
    </w:p>
    <w:p w14:paraId="07049DE1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Das generalidades em relação às amostras de retenção</w:t>
      </w:r>
    </w:p>
    <w:p w14:paraId="6C69CE89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24. A amostra de retenção deve representar o lote do medicamento tal como este foi distribuído ao consumo para que possa ser analisada com vistas a verificar a conformidade de requisitos não técnicos do registro sanitário ou legislação aplicável.</w:t>
      </w:r>
    </w:p>
    <w:p w14:paraId="1CFCA5B1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lastRenderedPageBreak/>
        <w:t>Art. 25. As amostras de retenção devem, preferencialmente, ser armazenadas no estabelecimento onde é realizada a liberação dos lotes para a venda.</w:t>
      </w:r>
    </w:p>
    <w:p w14:paraId="785107D8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Parágrafo único. Este local deve dispor de livre acesso às autoridades sanitárias.</w:t>
      </w:r>
    </w:p>
    <w:p w14:paraId="0585856D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26. Quando mais de um estabelecimento estiver envolvido na cadeia de fabricação, embalagem, análise, importação e liberação final de lotes, a responsabilidade pela coleta e armazenamento de amostras de retenção deve ser definida em contrato entre as partes envolvidas.</w:t>
      </w:r>
    </w:p>
    <w:p w14:paraId="3386203B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Seção VIII</w:t>
      </w:r>
    </w:p>
    <w:p w14:paraId="6A2C4641" w14:textId="77777777" w:rsidR="00244E75" w:rsidRPr="00244E75" w:rsidRDefault="00244E75" w:rsidP="00244E7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44E75">
        <w:rPr>
          <w:rFonts w:ascii="Times New Roman" w:hAnsi="Times New Roman"/>
          <w:b/>
          <w:sz w:val="24"/>
          <w:szCs w:val="24"/>
        </w:rPr>
        <w:t>Da gestão das amostras de referência e de retenção no caso do encerramento das atividades de um fabricante</w:t>
      </w:r>
    </w:p>
    <w:p w14:paraId="3D92B0A8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27. Caso permaneçam lotes de medicamentos não expirados fabricados por empresa que tenha encerrado suas atividades, o fabricante deve tomar providências para a transferência de amostras de referência e de retenção, e da documentação pertinente de Boas Práticas de Fabricação para um autorizado junto à Anvisa.</w:t>
      </w:r>
    </w:p>
    <w:p w14:paraId="17AB8EFE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28. O fabricante deve garantir à autoridade competente que as disposições relativas à armazenagem são satisfatórias e que as amostras podem, se necessário, ser prontamente acessadas e analisadas.</w:t>
      </w:r>
    </w:p>
    <w:p w14:paraId="3C41FCD1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§1</w:t>
      </w:r>
      <w:proofErr w:type="gramStart"/>
      <w:r w:rsidRPr="00244E75">
        <w:rPr>
          <w:rFonts w:ascii="Times New Roman" w:hAnsi="Times New Roman"/>
          <w:sz w:val="24"/>
          <w:szCs w:val="24"/>
        </w:rPr>
        <w:t>º  Quando</w:t>
      </w:r>
      <w:proofErr w:type="gramEnd"/>
      <w:r w:rsidRPr="00244E75">
        <w:rPr>
          <w:rFonts w:ascii="Times New Roman" w:hAnsi="Times New Roman"/>
          <w:sz w:val="24"/>
          <w:szCs w:val="24"/>
        </w:rPr>
        <w:t xml:space="preserve"> existirem situações que evitem o cumprimento do disposto, as providências necessárias podem ser delegadas a outro fabricante.</w:t>
      </w:r>
    </w:p>
    <w:p w14:paraId="0D27A061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§2</w:t>
      </w:r>
      <w:proofErr w:type="gramStart"/>
      <w:r w:rsidRPr="00244E75">
        <w:rPr>
          <w:rFonts w:ascii="Times New Roman" w:hAnsi="Times New Roman"/>
          <w:sz w:val="24"/>
          <w:szCs w:val="24"/>
        </w:rPr>
        <w:t>º  O</w:t>
      </w:r>
      <w:proofErr w:type="gramEnd"/>
      <w:r w:rsidRPr="00244E75">
        <w:rPr>
          <w:rFonts w:ascii="Times New Roman" w:hAnsi="Times New Roman"/>
          <w:sz w:val="24"/>
          <w:szCs w:val="24"/>
        </w:rPr>
        <w:t xml:space="preserve"> detentor do registro do produto é responsável pela delegação e pelo fornecimento de todas as informações necessárias à autoridade sanitária.</w:t>
      </w:r>
    </w:p>
    <w:p w14:paraId="2B0F4594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29. O titular do registro sanitário do produto deve, no que tange à adequação das medidas propostas para o armazenamento de amostras de referência e de retenção, consultar a autoridade sanitária de cada país em que qualquer lote dentro da validade tenha sido colocado no mercado.</w:t>
      </w:r>
    </w:p>
    <w:p w14:paraId="3462B3D2" w14:textId="77777777" w:rsidR="00244E75" w:rsidRPr="008D35A2" w:rsidRDefault="00244E75" w:rsidP="008D35A2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D35A2">
        <w:rPr>
          <w:rFonts w:ascii="Times New Roman" w:hAnsi="Times New Roman"/>
          <w:b/>
          <w:sz w:val="24"/>
          <w:szCs w:val="24"/>
        </w:rPr>
        <w:t>CAPÍTULO III</w:t>
      </w:r>
      <w:bookmarkStart w:id="0" w:name="_GoBack"/>
      <w:bookmarkEnd w:id="0"/>
    </w:p>
    <w:p w14:paraId="007D4950" w14:textId="77777777" w:rsidR="00244E75" w:rsidRPr="008D35A2" w:rsidRDefault="00244E75" w:rsidP="008D35A2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D35A2">
        <w:rPr>
          <w:rFonts w:ascii="Times New Roman" w:hAnsi="Times New Roman"/>
          <w:b/>
          <w:sz w:val="24"/>
          <w:szCs w:val="24"/>
        </w:rPr>
        <w:t>DAS DISPOSIÇÕES FINAIS</w:t>
      </w:r>
    </w:p>
    <w:p w14:paraId="2149FF66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 xml:space="preserve">Art. 30. Excetuam-se da duração de armazenamento prevista no art. 11, as soluções parenterais de grande volume e os concentrados </w:t>
      </w:r>
      <w:proofErr w:type="spellStart"/>
      <w:r w:rsidRPr="00244E75">
        <w:rPr>
          <w:rFonts w:ascii="Times New Roman" w:hAnsi="Times New Roman"/>
          <w:sz w:val="24"/>
          <w:szCs w:val="24"/>
        </w:rPr>
        <w:t>polieletrolíticos</w:t>
      </w:r>
      <w:proofErr w:type="spellEnd"/>
      <w:r w:rsidRPr="00244E75">
        <w:rPr>
          <w:rFonts w:ascii="Times New Roman" w:hAnsi="Times New Roman"/>
          <w:sz w:val="24"/>
          <w:szCs w:val="24"/>
        </w:rPr>
        <w:t xml:space="preserve"> para hemodiálise, os quais devem ser armazenadas por 30 (trinta) dias após o período de validade.</w:t>
      </w:r>
    </w:p>
    <w:p w14:paraId="3EE3FCC9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31. O descumprimento das disposições contidas nesta Instrução Normativa constitui infração sanitária, nos termos da Lei nº. 6.437, de 20 de agosto de 1977, sem prejuízo das responsabilidades civil, administrativa e penal cabíveis.</w:t>
      </w:r>
    </w:p>
    <w:p w14:paraId="3813B0B5" w14:textId="77777777" w:rsidR="00244E75" w:rsidRDefault="00244E75" w:rsidP="00244E7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Art. 32. Esta Instrução Normativa entra em vigor 45 (quarenta e cinco) dias após sua publicação.</w:t>
      </w:r>
    </w:p>
    <w:p w14:paraId="2B94A585" w14:textId="1E157419" w:rsidR="00244E75" w:rsidRDefault="00244E75" w:rsidP="00BB33A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lastRenderedPageBreak/>
        <w:t>WILLIAM DIB</w:t>
      </w:r>
    </w:p>
    <w:p w14:paraId="0F7CEE2D" w14:textId="523A8F34" w:rsidR="0056139D" w:rsidRPr="00244E75" w:rsidRDefault="00244E75" w:rsidP="00BB33A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244E75">
        <w:rPr>
          <w:rFonts w:ascii="Times New Roman" w:hAnsi="Times New Roman"/>
          <w:sz w:val="24"/>
          <w:szCs w:val="24"/>
        </w:rPr>
        <w:t>Diretor-Presidente</w:t>
      </w:r>
    </w:p>
    <w:sectPr w:rsidR="0056139D" w:rsidRPr="00244E75" w:rsidSect="00CE14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DE38D" w14:textId="77777777" w:rsidR="00461D07" w:rsidRDefault="00461D07" w:rsidP="00732FAE">
      <w:pPr>
        <w:spacing w:after="0" w:line="240" w:lineRule="auto"/>
      </w:pPr>
      <w:r>
        <w:separator/>
      </w:r>
    </w:p>
  </w:endnote>
  <w:endnote w:type="continuationSeparator" w:id="0">
    <w:p w14:paraId="3E6741F6" w14:textId="77777777" w:rsidR="00461D07" w:rsidRDefault="00461D07" w:rsidP="0073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1CF94" w14:textId="77777777" w:rsidR="007F23C5" w:rsidRDefault="007F23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06C6" w14:textId="349AEFCE" w:rsidR="004355D3" w:rsidRPr="005501EC" w:rsidRDefault="005501EC" w:rsidP="005501EC">
    <w:pPr>
      <w:tabs>
        <w:tab w:val="right" w:pos="8504"/>
      </w:tabs>
      <w:spacing w:after="0" w:line="240" w:lineRule="auto"/>
      <w:jc w:val="center"/>
      <w:rPr>
        <w:sz w:val="24"/>
        <w:szCs w:val="24"/>
      </w:rPr>
    </w:pPr>
    <w:r w:rsidRPr="0018049F">
      <w:rPr>
        <w:color w:val="943634"/>
        <w:sz w:val="24"/>
        <w:szCs w:val="2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03E1" w14:textId="77777777" w:rsidR="007F23C5" w:rsidRDefault="007F23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CC7CD" w14:textId="77777777" w:rsidR="00461D07" w:rsidRDefault="00461D07" w:rsidP="00732FAE">
      <w:pPr>
        <w:spacing w:after="0" w:line="240" w:lineRule="auto"/>
      </w:pPr>
      <w:r>
        <w:separator/>
      </w:r>
    </w:p>
  </w:footnote>
  <w:footnote w:type="continuationSeparator" w:id="0">
    <w:p w14:paraId="665FDFCF" w14:textId="77777777" w:rsidR="00461D07" w:rsidRDefault="00461D07" w:rsidP="0073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C3333" w14:textId="77777777" w:rsidR="007F23C5" w:rsidRDefault="007F23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20D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>
      <w:rPr>
        <w:noProof/>
      </w:rPr>
      <w:drawing>
        <wp:inline distT="0" distB="0" distL="0" distR="0" wp14:anchorId="4202CC25" wp14:editId="005E8D6C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7AF0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14:paraId="27F5D24F" w14:textId="77777777" w:rsidR="007B07BC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14:paraId="28E75F85" w14:textId="0262EB9F" w:rsidR="004355D3" w:rsidRDefault="004355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A2C0" w14:textId="77777777" w:rsidR="007F23C5" w:rsidRDefault="007F23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40CF"/>
    <w:multiLevelType w:val="hybridMultilevel"/>
    <w:tmpl w:val="6180DBD2"/>
    <w:lvl w:ilvl="0" w:tplc="B64884A6">
      <w:start w:val="10"/>
      <w:numFmt w:val="decimal"/>
      <w:lvlText w:val="Art. %1.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0F0958"/>
    <w:multiLevelType w:val="hybridMultilevel"/>
    <w:tmpl w:val="651EC44C"/>
    <w:lvl w:ilvl="0" w:tplc="52643EC2">
      <w:start w:val="1"/>
      <w:numFmt w:val="ordinal"/>
      <w:lvlText w:val="Art. %1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B5A06A5"/>
    <w:multiLevelType w:val="hybridMultilevel"/>
    <w:tmpl w:val="E9CE2D1C"/>
    <w:lvl w:ilvl="0" w:tplc="6464A92E">
      <w:start w:val="1"/>
      <w:numFmt w:val="decimal"/>
      <w:lvlText w:val="§%1º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AE"/>
    <w:rsid w:val="000212E8"/>
    <w:rsid w:val="0007447C"/>
    <w:rsid w:val="000B34B2"/>
    <w:rsid w:val="001250D2"/>
    <w:rsid w:val="00164957"/>
    <w:rsid w:val="00190B8E"/>
    <w:rsid w:val="001A071B"/>
    <w:rsid w:val="00244E75"/>
    <w:rsid w:val="00270A7C"/>
    <w:rsid w:val="00283879"/>
    <w:rsid w:val="002A128B"/>
    <w:rsid w:val="002E7327"/>
    <w:rsid w:val="002F619F"/>
    <w:rsid w:val="00433B35"/>
    <w:rsid w:val="004355D3"/>
    <w:rsid w:val="004506B5"/>
    <w:rsid w:val="00461D07"/>
    <w:rsid w:val="004A3271"/>
    <w:rsid w:val="004E3CCF"/>
    <w:rsid w:val="00511C63"/>
    <w:rsid w:val="005501EC"/>
    <w:rsid w:val="0056139D"/>
    <w:rsid w:val="00613CA3"/>
    <w:rsid w:val="00635D48"/>
    <w:rsid w:val="006D34FC"/>
    <w:rsid w:val="006D6F5B"/>
    <w:rsid w:val="007052A1"/>
    <w:rsid w:val="0071150B"/>
    <w:rsid w:val="00732FAE"/>
    <w:rsid w:val="00792CCE"/>
    <w:rsid w:val="007B07BC"/>
    <w:rsid w:val="007C6D5F"/>
    <w:rsid w:val="007F23C5"/>
    <w:rsid w:val="008D35A2"/>
    <w:rsid w:val="008E20C1"/>
    <w:rsid w:val="0099346B"/>
    <w:rsid w:val="00B85D2A"/>
    <w:rsid w:val="00BB33AE"/>
    <w:rsid w:val="00BF7704"/>
    <w:rsid w:val="00C048C0"/>
    <w:rsid w:val="00C20919"/>
    <w:rsid w:val="00CA1660"/>
    <w:rsid w:val="00CE14FF"/>
    <w:rsid w:val="00D24394"/>
    <w:rsid w:val="00D26F5E"/>
    <w:rsid w:val="00D434EE"/>
    <w:rsid w:val="00D820EC"/>
    <w:rsid w:val="00D9319B"/>
    <w:rsid w:val="00E92EFE"/>
    <w:rsid w:val="00EC4577"/>
    <w:rsid w:val="00EF7FE7"/>
    <w:rsid w:val="00F8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9D542A"/>
  <w14:defaultImageDpi w14:val="0"/>
  <w15:docId w15:val="{19085F90-8F81-4ED6-B359-B16A5484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FAE"/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32FAE"/>
    <w:pPr>
      <w:spacing w:after="120" w:line="240" w:lineRule="auto"/>
      <w:jc w:val="center"/>
      <w:outlineLvl w:val="0"/>
    </w:pPr>
    <w:rPr>
      <w:rFonts w:cs="Calibri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732FAE"/>
    <w:pPr>
      <w:spacing w:after="120" w:line="240" w:lineRule="auto"/>
      <w:jc w:val="center"/>
      <w:outlineLvl w:val="1"/>
    </w:pPr>
    <w:rPr>
      <w:rFonts w:cs="Calibri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32FAE"/>
    <w:rPr>
      <w:rFonts w:ascii="Calibri" w:hAnsi="Calibri" w:cs="Calibr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locked/>
    <w:rsid w:val="00732FAE"/>
    <w:rPr>
      <w:rFonts w:ascii="Calibri" w:hAnsi="Calibri" w:cs="Calibr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2FA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33B35"/>
    <w:rPr>
      <w:rFonts w:cs="Times New Roman"/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5D3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5D3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5D3"/>
    <w:rPr>
      <w:rFonts w:ascii="Segoe UI" w:hAnsi="Segoe UI" w:cs="Segoe UI"/>
      <w:sz w:val="18"/>
      <w:szCs w:val="18"/>
    </w:rPr>
  </w:style>
  <w:style w:type="paragraph" w:customStyle="1" w:styleId="textojustificadoespacamentosimples">
    <w:name w:val="texto_justificado_espacamento_simples"/>
    <w:basedOn w:val="Normal"/>
    <w:rsid w:val="00D931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31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319B"/>
    <w:rPr>
      <w:b/>
      <w:bCs/>
    </w:rPr>
  </w:style>
  <w:style w:type="paragraph" w:customStyle="1" w:styleId="textocentralizado">
    <w:name w:val="texto_centralizado"/>
    <w:basedOn w:val="Normal"/>
    <w:rsid w:val="00D931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319B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E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FF4E-E9DB-40EE-BE5C-42280F535E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F7132-4F8C-478E-A2F4-9944A099B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6880F6-D543-4506-9C1D-36BF2FB8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1630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Livia da Silva Santos</dc:creator>
  <cp:keywords/>
  <dc:description/>
  <cp:lastModifiedBy>Raianne Liberal Coutinho</cp:lastModifiedBy>
  <cp:revision>6</cp:revision>
  <cp:lastPrinted>2019-08-22T13:44:00Z</cp:lastPrinted>
  <dcterms:created xsi:type="dcterms:W3CDTF">2019-08-22T13:45:00Z</dcterms:created>
  <dcterms:modified xsi:type="dcterms:W3CDTF">2019-08-22T13:48:00Z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