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5014" w14:textId="7D688F3B" w:rsidR="008303FA" w:rsidRDefault="00224E65" w:rsidP="00FD3FDB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RESOLUÇÃO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DIRETORIA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COLEGIADA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-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RDC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Nº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28</w:t>
      </w:r>
      <w:r w:rsidR="00B26530">
        <w:rPr>
          <w:rFonts w:ascii="Times New Roman" w:hAnsi="Times New Roman"/>
          <w:b/>
          <w:bCs/>
          <w:sz w:val="24"/>
          <w:szCs w:val="24"/>
          <w:lang w:eastAsia="pt-BR"/>
        </w:rPr>
        <w:t>4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,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="00B26530">
        <w:rPr>
          <w:rFonts w:ascii="Times New Roman" w:hAnsi="Times New Roman"/>
          <w:b/>
          <w:bCs/>
          <w:sz w:val="24"/>
          <w:szCs w:val="24"/>
          <w:lang w:eastAsia="pt-BR"/>
        </w:rPr>
        <w:t>21</w:t>
      </w:r>
      <w:bookmarkStart w:id="0" w:name="_GoBack"/>
      <w:bookmarkEnd w:id="0"/>
      <w:r w:rsidR="00F96C63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MAIO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DE</w:t>
      </w:r>
      <w:r w:rsidR="008303FA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bCs/>
          <w:sz w:val="24"/>
          <w:szCs w:val="24"/>
          <w:lang w:eastAsia="pt-BR"/>
        </w:rPr>
        <w:t>2019</w:t>
      </w:r>
    </w:p>
    <w:p w14:paraId="052FE7D6" w14:textId="70619AA9" w:rsidR="008303FA" w:rsidRPr="008303FA" w:rsidRDefault="008303FA" w:rsidP="00FD3FDB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120DE7">
        <w:rPr>
          <w:rFonts w:ascii="Times New Roman" w:hAnsi="Times New Roman"/>
          <w:b/>
          <w:color w:val="0000FF"/>
          <w:sz w:val="24"/>
          <w:szCs w:val="24"/>
          <w:lang w:eastAsia="pt-BR"/>
        </w:rPr>
        <w:t>97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120DE7">
        <w:rPr>
          <w:rFonts w:ascii="Times New Roman" w:hAnsi="Times New Roman"/>
          <w:b/>
          <w:color w:val="0000FF"/>
          <w:sz w:val="24"/>
          <w:szCs w:val="24"/>
          <w:lang w:eastAsia="pt-BR"/>
        </w:rPr>
        <w:t>22 de maio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14:paraId="0E883CCE" w14:textId="77777777" w:rsidR="004E4D93" w:rsidRDefault="00E33CE3" w:rsidP="004E4D93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Dispõe sobre a manutenção do ingrediente ativo ácido 2,4-diclorofenoxiacético (2,4-D) em produtos agrotóxicos, no País. </w:t>
      </w:r>
    </w:p>
    <w:p w14:paraId="710A085A" w14:textId="607BF58E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A Diretoria Colegiada da Agência Nacional de Vigilância Sanitária,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e</w:t>
      </w:r>
    </w:p>
    <w:p w14:paraId="5281F5D2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considerando que, em virtude da ausência de evidências suficientes de efeitos graves à saúde na espécie humana ou em animais de experimentação, avaliadas segundo critérios técnicos e científicos atualizados, o 2,4-D não se enquadra no art. 31 incisos III, IV, V, VI e VII do Decreto 4.074, de 4 de janeiro 2002, nem no art. 3º, § 6º, alíneas  "c", "d" e "e" da Lei nº 7.802, de 11 de julho de 1989;</w:t>
      </w:r>
    </w:p>
    <w:p w14:paraId="004D9246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considerando a necessidade de adoção de medidas de mitigação de riscos à saúde e de alterações no registro, como prevê o art. 13 do Decreto nº 4.074, de 2002, e o art. 27, incisos II e III da Resolução da Diretoria Colegiada - RDC nº 221, de 28 de março de 2018,</w:t>
      </w:r>
    </w:p>
    <w:p w14:paraId="2E430B22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resolve adotar a seguinte Resolução da Diretoria Colegiada, conforme deliberado em reunião realizada em 14 de maio de 2019, e eu, Diretor-Presidente, determino a sua publicação.</w:t>
      </w:r>
    </w:p>
    <w:p w14:paraId="42438A67" w14:textId="6A5DDF0E" w:rsidR="004E4D93" w:rsidRPr="0081612D" w:rsidRDefault="00E33CE3" w:rsidP="0081612D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81612D">
        <w:rPr>
          <w:rFonts w:ascii="Times New Roman" w:hAnsi="Times New Roman"/>
          <w:b/>
          <w:color w:val="000000"/>
          <w:sz w:val="24"/>
          <w:szCs w:val="24"/>
          <w:lang w:eastAsia="pt-BR"/>
        </w:rPr>
        <w:t>CAPÍTULO I</w:t>
      </w:r>
    </w:p>
    <w:p w14:paraId="7D44283B" w14:textId="77777777" w:rsidR="004E4D93" w:rsidRPr="0081612D" w:rsidRDefault="00E33CE3" w:rsidP="0081612D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81612D">
        <w:rPr>
          <w:rFonts w:ascii="Times New Roman" w:hAnsi="Times New Roman"/>
          <w:b/>
          <w:color w:val="000000"/>
          <w:sz w:val="24"/>
          <w:szCs w:val="24"/>
          <w:lang w:eastAsia="pt-BR"/>
        </w:rPr>
        <w:t>DO OBJETO E DO ÂMBITO DE APLICAÇÃO</w:t>
      </w:r>
    </w:p>
    <w:p w14:paraId="081BEA4F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Art. 1º Esta Resolução estabelece a manutenção do ingrediente ativo ácido 2,4-diclorofenoxiacético (2,4-D) em produtos agrotóxicos, no País, bem como determina medidas de mitigação de riscos à saúde e alterações no registro decorrentes da sua reavaliação toxicológica.</w:t>
      </w:r>
    </w:p>
    <w:p w14:paraId="3C3AC0DE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§ 1º Esta Resolução se aplica a todos os produtos técnicos e formulados à base do ingrediente ativo 2,4-D registrados e que venham a ser registrados no Brasil.</w:t>
      </w:r>
    </w:p>
    <w:p w14:paraId="483F139A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§ 2º Os pedidos de novos registros e de alterações de registro para produtos formulados à base do ingrediente ativo 2,4-D com taxas de aplicação maiores do que as taxas atualmente permitidas para as culturas autorizadas devem ser submetidos à avaliação do risco ocupacional e de residentes e transeuntes pela Anvisa.  </w:t>
      </w:r>
    </w:p>
    <w:p w14:paraId="2C4AF828" w14:textId="3B15A3F0" w:rsidR="004E4D93" w:rsidRPr="0081612D" w:rsidRDefault="00E33CE3" w:rsidP="0081612D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81612D">
        <w:rPr>
          <w:rFonts w:ascii="Times New Roman" w:hAnsi="Times New Roman"/>
          <w:b/>
          <w:color w:val="000000"/>
          <w:sz w:val="24"/>
          <w:szCs w:val="24"/>
          <w:lang w:eastAsia="pt-BR"/>
        </w:rPr>
        <w:t>CAPÍTULO II</w:t>
      </w:r>
    </w:p>
    <w:p w14:paraId="5FA341A7" w14:textId="77777777" w:rsidR="004E4D93" w:rsidRPr="0081612D" w:rsidRDefault="00E33CE3" w:rsidP="0081612D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81612D">
        <w:rPr>
          <w:rFonts w:ascii="Times New Roman" w:hAnsi="Times New Roman"/>
          <w:b/>
          <w:color w:val="000000"/>
          <w:sz w:val="24"/>
          <w:szCs w:val="24"/>
          <w:lang w:eastAsia="pt-BR"/>
        </w:rPr>
        <w:t>DAS DISPOSIÇÕES GERAIS</w:t>
      </w:r>
    </w:p>
    <w:p w14:paraId="1754D253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Art. 2º Ficam definidas as seguintes alterações na Monografia do ingrediente ativo 2,4-D, índice monográfico D27, a partir da data de publicação desta Resolução:</w:t>
      </w:r>
    </w:p>
    <w:p w14:paraId="55FEA2BB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 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exclusão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forma éster butílico do 2,4-D (item D27.3 da Monografia);</w:t>
      </w:r>
    </w:p>
    <w:p w14:paraId="4FD6251C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II 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definição de dioxinas totais como a soma das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dibenzo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p-dioxinas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policloradas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dos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dibenzofuranos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policlorados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relevantes (17 compostos no total); com apresentação dos resultados expressos como quociente de equivalência tóxica (TEQ);</w:t>
      </w:r>
    </w:p>
    <w:p w14:paraId="00EEE44E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III - inclusão dos fenóis livres, expressos como 2,4-diclorofenol (2,4-DCP), na concentração de 3,0 g/kg, entre os contaminantes de importância toxicológica, com discriminação individual dos compostos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clorofenólicos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na metodologia analítica;</w:t>
      </w:r>
    </w:p>
    <w:p w14:paraId="6AD7B59B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IV –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do Nível Aceitável de Exposição Ocupacional (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Acceptable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Operator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Exposure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Level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- AOEL) de 0,01 mg/kg de peso corpóreo por dia;</w:t>
      </w:r>
    </w:p>
    <w:p w14:paraId="1AEDDDAC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 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Dose de Referência Aguda (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DRfA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) de 0,75 mg/kg de peso corpóreo/dia;</w:t>
      </w:r>
    </w:p>
    <w:p w14:paraId="167814A9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VI –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definição de resíduos de 2,4-D para conformidade do Limite Máximo de Resíduo (LMR) e para a avaliação do risco dietético de culturas convencionais e de culturas geneticamente modificadas como a soma de 2,4-D, seus sais, ésteres e conjugados, expressos como 2,4-D;</w:t>
      </w:r>
    </w:p>
    <w:p w14:paraId="16F56E4F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VII – inclusão da necessidade de que os estudos de resíduos para as culturas de milho e soja com gene para expressão da enzima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ariloxialcanoato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dioxigenase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aad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) a serem protocolados na Anvisa incluam a pesquisa do metabólito 2,4-DCP;</w:t>
      </w:r>
    </w:p>
    <w:p w14:paraId="76AD7362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VIII – inclusão de intervalos de reentrada específicos para as seguintes culturas e durações de atividades de reentrada: de 14 dias para arroz (atividades de 8h); de 4 dias para aveia e sorgo (atividades de 8h); de 13 e 31 dias para cana-de-açúcar (atividades de 2 e 8h, respectivamente); de 12 dias para cevada (atividades de 8h); de 18 dias para milho e soja (atividades de 8h); de 5 e 23 dias para pastagem (atividades de 2 e 8h, respectivamente), permanecendo em 24 horas para as situações de aplicações individuais nas plantas que se quer eliminar, e de 2 e 20 dias para trigo (atividades de 2 e 8h, respectivamente);</w:t>
      </w:r>
    </w:p>
    <w:p w14:paraId="5CC5E502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IX-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exigência de manutenção de bordadura de, no mínimo, 10 metros livres de aplicação costal e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tratorizada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2,4-D, conforme resultados da avaliação de risco de residentes. A bordadura terá início no limite externo da plantação em direção ao seu interior e será obrigatória sempre que houver povoações, cidades, vilas, bairros, bem como moradias ou escolas isoladas, a menos de 500 metros do limite externo da plantação;</w:t>
      </w:r>
    </w:p>
    <w:p w14:paraId="311A81DA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X-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exigência de utilização de tecnologia de redução de deriva nas culturas de café e cana-de-açúcar: de pelo menos 55% para aplicação costal e de pelo menos 50% para aplicação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tratorizada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;</w:t>
      </w:r>
    </w:p>
    <w:p w14:paraId="1253D64E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XI - proibição de taxas de aplicação costal superiores a 1,7 kg/hectare de produtos à base de 2,4-D na cultura de café no caso de impossibilidade de utilização de tecnologia de redução de deriva de pelo menos 55%;</w:t>
      </w:r>
    </w:p>
    <w:p w14:paraId="02082DFE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XII - inclusão do uso em pós-emergência das culturas de monocotiledôneas, já constante nas bulas dos produtos;</w:t>
      </w:r>
    </w:p>
    <w:p w14:paraId="60D94F5C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XIII - exclusão do LMR da pastagem, dado o uso não alimentar (UNA) da cultura; e</w:t>
      </w:r>
    </w:p>
    <w:p w14:paraId="6FBBBE93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XIV - correção do intervalo de segurança da soja geneticamente modificada.</w:t>
      </w:r>
    </w:p>
    <w:p w14:paraId="53F93736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Parágrafo único. As definições dos incisos VIII, IX, X e XI poderão ser alteradas a partir dos resultados da avaliação de risco de cada produto formulado.</w:t>
      </w:r>
    </w:p>
    <w:p w14:paraId="4BD302DC" w14:textId="73C47CEB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3º As bulas e, no que for aplicável, os rótulos dos produtos à base de 2,4-D devem ser revisados de modo a contemplar as seguintes alterações resultantes da avaliação do risco: </w:t>
      </w:r>
    </w:p>
    <w:p w14:paraId="724DB375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 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exclusão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modalidade de emprego aplicação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tratorizada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com turbina de fluxo de ar;</w:t>
      </w:r>
    </w:p>
    <w:p w14:paraId="2CE65734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II –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restrição de realização cumulativa das atividades de mistura, abastecimento e aplicação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tratorizada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2,4-D pelo mesmo indivíduo;</w:t>
      </w:r>
    </w:p>
    <w:p w14:paraId="153CF837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III - inclusão dos intervalos de reentrada, da exigência de manutenção de bordadura mínima e da utilização de tecnologia de redução de deriva conforme incisos VIII, IX e X do art. 2º;</w:t>
      </w:r>
    </w:p>
    <w:p w14:paraId="55956DA7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IV 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informação sobre a necessidade de utilização pelos trabalhadores de vestimenta simples de trabalho (calça e blusa de manga longa) e os equipamentos de proteção individual (EPI) vestimenta </w:t>
      </w:r>
      <w:proofErr w:type="spell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hidrorrepelente</w:t>
      </w:r>
      <w:proofErr w:type="spell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 luvas no caso de reentrada anterior aos intervalos definidos no inciso VIII do art. 2º;</w:t>
      </w:r>
    </w:p>
    <w:p w14:paraId="577AB052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 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 informação sobre a necessidade de utilização pelos trabalhadores, após o intervalo de reentrada, de vestimenta simples de trabalho (calça e blusa de manga longa) e luva como equipamento de proteção individual (EPI) para se realizar qualquer trabalho nas culturas de cana-de-açúcar após a aplicação de produtos contendo 2,4-D;</w:t>
      </w:r>
    </w:p>
    <w:p w14:paraId="654FDA36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VI - </w:t>
      </w:r>
      <w:proofErr w:type="gramStart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inclusão</w:t>
      </w:r>
      <w:proofErr w:type="gramEnd"/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medidas que dificultem a entrada em área tratada de transeuntes e residentes. </w:t>
      </w:r>
    </w:p>
    <w:p w14:paraId="3CEAF64A" w14:textId="4D021E43" w:rsidR="004E4D93" w:rsidRPr="0081612D" w:rsidRDefault="00E33CE3" w:rsidP="0081612D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81612D">
        <w:rPr>
          <w:rFonts w:ascii="Times New Roman" w:hAnsi="Times New Roman"/>
          <w:b/>
          <w:color w:val="000000"/>
          <w:sz w:val="24"/>
          <w:szCs w:val="24"/>
          <w:lang w:eastAsia="pt-BR"/>
        </w:rPr>
        <w:t>CAPÍTULO III</w:t>
      </w:r>
    </w:p>
    <w:p w14:paraId="3D313DA0" w14:textId="77777777" w:rsidR="004E4D93" w:rsidRPr="0081612D" w:rsidRDefault="00E33CE3" w:rsidP="0081612D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81612D">
        <w:rPr>
          <w:rFonts w:ascii="Times New Roman" w:hAnsi="Times New Roman"/>
          <w:b/>
          <w:color w:val="000000"/>
          <w:sz w:val="24"/>
          <w:szCs w:val="24"/>
          <w:lang w:eastAsia="pt-BR"/>
        </w:rPr>
        <w:t>DAS DISPOSIÇÕES TRANSITÓRIAS</w:t>
      </w:r>
    </w:p>
    <w:p w14:paraId="58915264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Art. 4º No prazo máximo de 180 (cento e oitenta) dias, contados a partir da data de publicação desta Resolução, serão aplicadas as alterações constantes dos incisos VIII, IX, X e XI do art. 2º.</w:t>
      </w:r>
    </w:p>
    <w:p w14:paraId="01F8DBE0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Art. 5º No prazo máximo de 180 (cento e oitenta) dias, contados a partir da data de publicação desta Resolução, as empresas titulares de registro dos produtos à base de 2,4-D deverão atualizar as bulas e, no que for aplicável, os rótulos desses produtos conforme alterações constantes no art. 3º da presente Resolução.</w:t>
      </w:r>
    </w:p>
    <w:p w14:paraId="49CB445B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Art. 6º No prazo máximo de 180 (cento e oitenta) dias, contados a partir da data de publicação desta Resolução, as empresas titulares de registro de produtos formulados à base de 2,4-D deverão instituir ou aprimorar programas de educação e manejo aos usuários de forma a ampliar o uso seguro desses produtos.</w:t>
      </w:r>
    </w:p>
    <w:p w14:paraId="5D5FD604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§ 1º Os programas de educação e manejo devem ser especialmente direcionados às situações de maior risco potencial dos produtos e aos usuários mais vulneráveis, conforme resultados das avaliações realizadas pela Anvisa.</w:t>
      </w:r>
    </w:p>
    <w:p w14:paraId="6530C239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§ 2º As empresas titulares de registro de produtos à base de 2,4-D são responsáveis por monitorar os resultados desses programas e elaborar relatórios anuais com registro das vendas de produtos no período, das medidas de mitigação de riscos realizadas e dos resultados obtidos, incluindo os dados de intoxicação notificados no período e de monitoramento em alimentos e água, entre outros considerados pertinentes.</w:t>
      </w:r>
    </w:p>
    <w:p w14:paraId="7A21C7CA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§ 3º Os relatórios referidos no § 2º deverão ficar em poder das empresas e poderão ser solicitados a qualquer momento pela Anvisa.</w:t>
      </w:r>
    </w:p>
    <w:p w14:paraId="56D072DE" w14:textId="5F73D791" w:rsidR="004E4D93" w:rsidRPr="0081612D" w:rsidRDefault="00E33CE3" w:rsidP="0081612D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81612D">
        <w:rPr>
          <w:rFonts w:ascii="Times New Roman" w:hAnsi="Times New Roman"/>
          <w:b/>
          <w:color w:val="000000"/>
          <w:sz w:val="24"/>
          <w:szCs w:val="24"/>
          <w:lang w:eastAsia="pt-BR"/>
        </w:rPr>
        <w:t>CAPÍTULO IV</w:t>
      </w:r>
    </w:p>
    <w:p w14:paraId="04DA6882" w14:textId="77777777" w:rsidR="004E4D93" w:rsidRPr="0081612D" w:rsidRDefault="00E33CE3" w:rsidP="0081612D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81612D">
        <w:rPr>
          <w:rFonts w:ascii="Times New Roman" w:hAnsi="Times New Roman"/>
          <w:b/>
          <w:color w:val="000000"/>
          <w:sz w:val="24"/>
          <w:szCs w:val="24"/>
          <w:lang w:eastAsia="pt-BR"/>
        </w:rPr>
        <w:t>DAS DISPOSIÇÕES FINAIS</w:t>
      </w:r>
    </w:p>
    <w:p w14:paraId="750306AD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Art. 7º O descumprimento das disposições contidas nesta Resolução constitui infração, nos termos da Lei nº 6.437, de 20 de agosto de 1977, da Lei nº 7.802, de 11 de julho de 1989, e do art. 31 da Resolução da Diretoria Colegiada - RDC nº 221, de 28 de março de 2018, sem prejuízo das penalidades civis e penais cabíveis.</w:t>
      </w:r>
    </w:p>
    <w:p w14:paraId="2E1D9D1F" w14:textId="77777777" w:rsidR="004E4D93" w:rsidRDefault="00E33CE3" w:rsidP="0081612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Art. 8º Esta Resolução entra em vigor na data da sua publicação.</w:t>
      </w:r>
    </w:p>
    <w:p w14:paraId="080DD668" w14:textId="77777777" w:rsidR="0081612D" w:rsidRDefault="0081612D" w:rsidP="004E4D93">
      <w:pPr>
        <w:spacing w:after="20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0A439826" w14:textId="0BDF13F8" w:rsidR="004E4D93" w:rsidRDefault="00E33CE3" w:rsidP="0081612D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WILLIAM DIB</w:t>
      </w:r>
    </w:p>
    <w:p w14:paraId="2607EB0F" w14:textId="1558D48E" w:rsidR="000366FA" w:rsidRPr="008303FA" w:rsidRDefault="00E33CE3" w:rsidP="0081612D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E33CE3">
        <w:rPr>
          <w:rFonts w:ascii="Times New Roman" w:hAnsi="Times New Roman"/>
          <w:color w:val="000000"/>
          <w:sz w:val="24"/>
          <w:szCs w:val="24"/>
          <w:lang w:eastAsia="pt-BR"/>
        </w:rPr>
        <w:t>Diretor-Presidente</w:t>
      </w:r>
    </w:p>
    <w:sectPr w:rsidR="000366FA" w:rsidRPr="008303F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7E356" w14:textId="77777777" w:rsidR="00C30A06" w:rsidRDefault="00C30A06" w:rsidP="008303FA">
      <w:pPr>
        <w:spacing w:after="0" w:line="240" w:lineRule="auto"/>
      </w:pPr>
      <w:r>
        <w:separator/>
      </w:r>
    </w:p>
  </w:endnote>
  <w:endnote w:type="continuationSeparator" w:id="0">
    <w:p w14:paraId="4C044D2A" w14:textId="77777777" w:rsidR="00C30A06" w:rsidRDefault="00C30A06" w:rsidP="0083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C785E" w14:textId="77777777" w:rsidR="008303FA" w:rsidRPr="008303FA" w:rsidRDefault="008303FA" w:rsidP="008303FA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D1F28" w14:textId="77777777" w:rsidR="00C30A06" w:rsidRDefault="00C30A06" w:rsidP="008303FA">
      <w:pPr>
        <w:spacing w:after="0" w:line="240" w:lineRule="auto"/>
      </w:pPr>
      <w:r>
        <w:separator/>
      </w:r>
    </w:p>
  </w:footnote>
  <w:footnote w:type="continuationSeparator" w:id="0">
    <w:p w14:paraId="6FF28300" w14:textId="77777777" w:rsidR="00C30A06" w:rsidRDefault="00C30A06" w:rsidP="0083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2CD2" w14:textId="77777777" w:rsidR="008303FA" w:rsidRPr="0018049F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3B55BEDB" wp14:editId="6387A808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D22A51" w14:textId="77777777" w:rsidR="008303FA" w:rsidRPr="0018049F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1934B27D" w14:textId="77777777" w:rsidR="004E4D93" w:rsidRDefault="008303FA" w:rsidP="008303F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46C78A0C" w14:textId="55D64C29" w:rsidR="008303FA" w:rsidRDefault="008303F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65"/>
    <w:rsid w:val="000366FA"/>
    <w:rsid w:val="00120DE7"/>
    <w:rsid w:val="00190DF6"/>
    <w:rsid w:val="00224E65"/>
    <w:rsid w:val="004E4D93"/>
    <w:rsid w:val="0081612D"/>
    <w:rsid w:val="008303FA"/>
    <w:rsid w:val="0093134B"/>
    <w:rsid w:val="00B26530"/>
    <w:rsid w:val="00C30A06"/>
    <w:rsid w:val="00E33CE3"/>
    <w:rsid w:val="00F96C63"/>
    <w:rsid w:val="00F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0F6FA1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224E65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224E65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224E65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4E65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24E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3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03FA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3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03FA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303FA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paragraph" w:customStyle="1" w:styleId="textoalinhadodireita">
    <w:name w:val="texto_alinhado_direita"/>
    <w:basedOn w:val="Normal"/>
    <w:rsid w:val="00FD3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FD3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FD3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D3FDB"/>
    <w:rPr>
      <w:i/>
      <w:iCs/>
    </w:rPr>
  </w:style>
  <w:style w:type="paragraph" w:customStyle="1" w:styleId="tabelatextocentralizado">
    <w:name w:val="tabela_texto_centralizado"/>
    <w:basedOn w:val="Normal"/>
    <w:rsid w:val="00FD3F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916E0-7C94-4296-9FDB-FE4426848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D60F60-5359-4E6A-A394-70889C352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4AE66-05E7-4C25-BE6A-20F4E6CA8AF5}">
  <ds:schemaRefs>
    <ds:schemaRef ds:uri="3358cef2-5e33-4382-9f34-ebdf29ebf261"/>
    <ds:schemaRef ds:uri="http://schemas.microsoft.com/office/2006/metadata/properties"/>
    <ds:schemaRef ds:uri="1b481078-05fd-4425-adfc-5f858dcaa140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1485</Words>
  <Characters>7558</Characters>
  <Application>Microsoft Office Word</Application>
  <DocSecurity>0</DocSecurity>
  <Lines>62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6</cp:revision>
  <cp:lastPrinted>2019-05-22T13:29:00Z</cp:lastPrinted>
  <dcterms:created xsi:type="dcterms:W3CDTF">2019-05-22T13:30:00Z</dcterms:created>
  <dcterms:modified xsi:type="dcterms:W3CDTF">2019-05-22T13:37:00Z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