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AEAA" w14:textId="332DB6E8" w:rsidR="00E4751D" w:rsidRPr="00103539" w:rsidRDefault="00E4751D" w:rsidP="00143412">
      <w:pPr>
        <w:spacing w:after="200" w:line="240" w:lineRule="auto"/>
        <w:ind w:left="-284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RESOLUÇÃO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DIRETORIA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COLEGIADA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RDC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Nº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29</w:t>
      </w:r>
      <w:r w:rsidR="00ED396C">
        <w:rPr>
          <w:rFonts w:ascii="Times New Roman" w:hAnsi="Times New Roman"/>
          <w:b/>
          <w:bCs/>
          <w:sz w:val="24"/>
          <w:szCs w:val="24"/>
          <w:lang w:eastAsia="pt-BR"/>
        </w:rPr>
        <w:t>4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,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="00ED396C">
        <w:rPr>
          <w:rFonts w:ascii="Times New Roman" w:hAnsi="Times New Roman"/>
          <w:b/>
          <w:bCs/>
          <w:sz w:val="24"/>
          <w:szCs w:val="24"/>
          <w:lang w:eastAsia="pt-BR"/>
        </w:rPr>
        <w:t>29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JU</w:t>
      </w:r>
      <w:r w:rsidR="00ED396C">
        <w:rPr>
          <w:rFonts w:ascii="Times New Roman" w:hAnsi="Times New Roman"/>
          <w:b/>
          <w:bCs/>
          <w:sz w:val="24"/>
          <w:szCs w:val="24"/>
          <w:lang w:eastAsia="pt-BR"/>
        </w:rPr>
        <w:t>L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HO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sz w:val="24"/>
          <w:szCs w:val="24"/>
          <w:lang w:eastAsia="pt-BR"/>
        </w:rPr>
        <w:t>2019</w:t>
      </w:r>
    </w:p>
    <w:p w14:paraId="4C737E05" w14:textId="2C91B7FF" w:rsidR="00656324" w:rsidRPr="00103539" w:rsidRDefault="00656324" w:rsidP="00143412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03539">
        <w:rPr>
          <w:rFonts w:ascii="Times New Roman" w:hAnsi="Times New Roman"/>
          <w:b/>
          <w:bCs/>
          <w:color w:val="0000FF"/>
          <w:sz w:val="24"/>
          <w:szCs w:val="24"/>
        </w:rPr>
        <w:t>(Publicada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Pr="00103539">
        <w:rPr>
          <w:rFonts w:ascii="Times New Roman" w:hAnsi="Times New Roman"/>
          <w:b/>
          <w:bCs/>
          <w:color w:val="0000FF"/>
          <w:sz w:val="24"/>
          <w:szCs w:val="24"/>
        </w:rPr>
        <w:t>no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Pr="00103539">
        <w:rPr>
          <w:rFonts w:ascii="Times New Roman" w:hAnsi="Times New Roman"/>
          <w:b/>
          <w:bCs/>
          <w:color w:val="0000FF"/>
          <w:sz w:val="24"/>
          <w:szCs w:val="24"/>
        </w:rPr>
        <w:t>DOU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Pr="00103539">
        <w:rPr>
          <w:rFonts w:ascii="Times New Roman" w:hAnsi="Times New Roman"/>
          <w:b/>
          <w:bCs/>
          <w:color w:val="0000FF"/>
          <w:sz w:val="24"/>
          <w:szCs w:val="24"/>
        </w:rPr>
        <w:t>nº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Pr="00103539">
        <w:rPr>
          <w:rFonts w:ascii="Times New Roman" w:hAnsi="Times New Roman"/>
          <w:b/>
          <w:bCs/>
          <w:color w:val="0000FF"/>
          <w:sz w:val="24"/>
          <w:szCs w:val="24"/>
        </w:rPr>
        <w:t>1</w:t>
      </w:r>
      <w:r w:rsidR="00EB45B4">
        <w:rPr>
          <w:rFonts w:ascii="Times New Roman" w:hAnsi="Times New Roman"/>
          <w:b/>
          <w:bCs/>
          <w:color w:val="0000FF"/>
          <w:sz w:val="24"/>
          <w:szCs w:val="24"/>
        </w:rPr>
        <w:t>46</w:t>
      </w:r>
      <w:r w:rsidRPr="00103539">
        <w:rPr>
          <w:rFonts w:ascii="Times New Roman" w:hAnsi="Times New Roman"/>
          <w:b/>
          <w:bCs/>
          <w:color w:val="0000FF"/>
          <w:sz w:val="24"/>
          <w:szCs w:val="24"/>
        </w:rPr>
        <w:t>,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Pr="00103539">
        <w:rPr>
          <w:rFonts w:ascii="Times New Roman" w:hAnsi="Times New Roman"/>
          <w:b/>
          <w:bCs/>
          <w:color w:val="0000FF"/>
          <w:sz w:val="24"/>
          <w:szCs w:val="24"/>
        </w:rPr>
        <w:t>de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EB45B4">
        <w:rPr>
          <w:rFonts w:ascii="Times New Roman" w:hAnsi="Times New Roman"/>
          <w:b/>
          <w:bCs/>
          <w:color w:val="0000FF"/>
          <w:sz w:val="24"/>
          <w:szCs w:val="24"/>
        </w:rPr>
        <w:t>31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EB45B4">
        <w:rPr>
          <w:rFonts w:ascii="Times New Roman" w:hAnsi="Times New Roman"/>
          <w:b/>
          <w:bCs/>
          <w:color w:val="0000FF"/>
          <w:sz w:val="24"/>
          <w:szCs w:val="24"/>
        </w:rPr>
        <w:t>de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EB45B4">
        <w:rPr>
          <w:rFonts w:ascii="Times New Roman" w:hAnsi="Times New Roman"/>
          <w:b/>
          <w:bCs/>
          <w:color w:val="0000FF"/>
          <w:sz w:val="24"/>
          <w:szCs w:val="24"/>
        </w:rPr>
        <w:t>julho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Pr="00103539">
        <w:rPr>
          <w:rFonts w:ascii="Times New Roman" w:hAnsi="Times New Roman"/>
          <w:b/>
          <w:bCs/>
          <w:color w:val="0000FF"/>
          <w:sz w:val="24"/>
          <w:szCs w:val="24"/>
        </w:rPr>
        <w:t>de</w:t>
      </w:r>
      <w:r w:rsidR="00AF49B1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Pr="00103539">
        <w:rPr>
          <w:rFonts w:ascii="Times New Roman" w:hAnsi="Times New Roman"/>
          <w:b/>
          <w:bCs/>
          <w:color w:val="0000FF"/>
          <w:sz w:val="24"/>
          <w:szCs w:val="24"/>
        </w:rPr>
        <w:t>2019)</w:t>
      </w:r>
    </w:p>
    <w:p w14:paraId="540E4A94" w14:textId="271F9082" w:rsidR="00143412" w:rsidRDefault="00847036" w:rsidP="00EB45B4">
      <w:pPr>
        <w:spacing w:after="200" w:line="240" w:lineRule="auto"/>
        <w:ind w:left="5103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Dispõe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priorização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comparação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outras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providências.</w:t>
      </w:r>
    </w:p>
    <w:p w14:paraId="2780650C" w14:textId="46BFECC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Diretoria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Colegiada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Nacional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Vigilância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Sanitária,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atribuição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lhe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confere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15,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IV,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aliado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7º,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III,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IV,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9.782,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26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janeiro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1999,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53,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§§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Interno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aprovado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Diretoria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Colegiada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–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RDC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</w:t>
      </w:r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255,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10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dezembro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2018,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adotar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seguinte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Diretoria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Colegiada,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deliberado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reunião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23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julho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2019,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eu,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Diretor-Presidente,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determino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publicação.</w:t>
      </w:r>
    </w:p>
    <w:p w14:paraId="61E24F57" w14:textId="054211DA" w:rsidR="00143412" w:rsidRPr="00EB45B4" w:rsidRDefault="00847036" w:rsidP="00EB45B4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B45B4">
        <w:rPr>
          <w:rFonts w:ascii="Times New Roman" w:hAnsi="Times New Roman"/>
          <w:b/>
          <w:sz w:val="24"/>
          <w:szCs w:val="24"/>
        </w:rPr>
        <w:t>CAPÍTULO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EB45B4">
        <w:rPr>
          <w:rFonts w:ascii="Times New Roman" w:hAnsi="Times New Roman"/>
          <w:b/>
          <w:sz w:val="24"/>
          <w:szCs w:val="24"/>
        </w:rPr>
        <w:t>I</w:t>
      </w:r>
    </w:p>
    <w:p w14:paraId="5C26A090" w14:textId="0C0400DB" w:rsidR="00143412" w:rsidRPr="00EB45B4" w:rsidRDefault="00847036" w:rsidP="00EB45B4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B45B4">
        <w:rPr>
          <w:rFonts w:ascii="Times New Roman" w:hAnsi="Times New Roman"/>
          <w:b/>
          <w:sz w:val="24"/>
          <w:szCs w:val="24"/>
        </w:rPr>
        <w:t>DAS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EB45B4">
        <w:rPr>
          <w:rFonts w:ascii="Times New Roman" w:hAnsi="Times New Roman"/>
          <w:b/>
          <w:sz w:val="24"/>
          <w:szCs w:val="24"/>
        </w:rPr>
        <w:t>DISPOSIÇÕES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EB45B4">
        <w:rPr>
          <w:rFonts w:ascii="Times New Roman" w:hAnsi="Times New Roman"/>
          <w:b/>
          <w:sz w:val="24"/>
          <w:szCs w:val="24"/>
        </w:rPr>
        <w:t>INICIAIS</w:t>
      </w:r>
    </w:p>
    <w:p w14:paraId="098D2D6F" w14:textId="762403D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</w:t>
      </w:r>
      <w:proofErr w:type="gramStart"/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priorização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comparação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madeira.</w:t>
      </w:r>
    </w:p>
    <w:p w14:paraId="23F022F9" w14:textId="013080F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</w:t>
      </w:r>
      <w:proofErr w:type="gramStart"/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Para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adotadas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seguintes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definições: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269A96D" w14:textId="539D990F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avaliação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risco: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sistematizada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probabilidade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aparecimento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exposição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cujo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processo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inclui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etapas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identificação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dose-resposta,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exposição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caracterização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risco;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16FAB54" w14:textId="3528BEF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avaliação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objetivo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classificá-los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toxicológicas;</w:t>
      </w:r>
    </w:p>
    <w:p w14:paraId="31A25490" w14:textId="7F10E231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diferentes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acordo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desfecho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avaliado;</w:t>
      </w:r>
    </w:p>
    <w:p w14:paraId="4A876DCC" w14:textId="55B7415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componente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não-ativo: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aditivo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ingrediente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inerte;</w:t>
      </w:r>
    </w:p>
    <w:p w14:paraId="14B21D89" w14:textId="7173536C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desfecho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</w:t>
      </w:r>
      <w:proofErr w:type="spellStart"/>
      <w:r w:rsidRPr="00103539">
        <w:rPr>
          <w:rFonts w:ascii="Times New Roman" w:hAnsi="Times New Roman"/>
          <w:sz w:val="24"/>
          <w:szCs w:val="24"/>
        </w:rPr>
        <w:t>endpoint</w:t>
      </w:r>
      <w:proofErr w:type="spellEnd"/>
      <w:r w:rsidRPr="00103539">
        <w:rPr>
          <w:rFonts w:ascii="Times New Roman" w:hAnsi="Times New Roman"/>
          <w:sz w:val="24"/>
          <w:szCs w:val="24"/>
        </w:rPr>
        <w:t>):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monitorado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D8B0CD2" w14:textId="68BC941F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VI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dossiê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conjunto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exigidos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22E26C48" w14:textId="647AEF05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VII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força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grau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confiabilidade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determinado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experimento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nível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significância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estatística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e/ou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delineamento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experimental;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7F1E803" w14:textId="59E32CE5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VIII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limiar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dose: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abaixo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declarado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observado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ocorra;</w:t>
      </w:r>
    </w:p>
    <w:p w14:paraId="1FC14F47" w14:textId="100D0365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IX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método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alternativo: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qualquer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método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possa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utilizado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substituir,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reduzir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refinar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atividades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pesquisa;</w:t>
      </w:r>
    </w:p>
    <w:p w14:paraId="332BDD9F" w14:textId="2154F1D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X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padrão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análogo: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padrão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analítico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substância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estruturalmente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similar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àquela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deseja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quantificar;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B29F6DF" w14:textId="24F977F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XI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parecer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(PATE):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parecer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elaborado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solicitante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aborda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previstos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normativas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relacionadas,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incluindo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crítica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839D63B" w14:textId="00595E8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XII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interpretação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contexto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disponíveis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força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relacionadas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decisão;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B54883E" w14:textId="0ACB751F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XIII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termo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genérico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madeira;</w:t>
      </w:r>
    </w:p>
    <w:p w14:paraId="238B3D5C" w14:textId="27FDA58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XIV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origem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biológica: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cujo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ingrediente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microrganismo,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biológico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controle,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bioquímico,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semioquímico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origem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vegetal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correlatos;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1D38318" w14:textId="7043334C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XV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relatório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anual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(RAP):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respeito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ocorridas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condição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registrada;</w:t>
      </w:r>
    </w:p>
    <w:p w14:paraId="13884447" w14:textId="39A05D04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XVI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Sistema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Globalmente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Harmonizado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Rotulagem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Químicos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(GHS):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sigla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inglês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Globally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Harmonized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System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of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Classification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and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Labelling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of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Chemicals</w:t>
      </w:r>
      <w:proofErr w:type="spellEnd"/>
      <w:r w:rsidRPr="00103539">
        <w:rPr>
          <w:rFonts w:ascii="Times New Roman" w:hAnsi="Times New Roman"/>
          <w:sz w:val="24"/>
          <w:szCs w:val="24"/>
        </w:rPr>
        <w:t>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sistema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rotulagem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químicos,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elaborado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âmbito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Unidas,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finalidade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harmonização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global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rotulagem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comunicação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químicos.</w:t>
      </w:r>
    </w:p>
    <w:p w14:paraId="6F14E2DD" w14:textId="71FB594F" w:rsidR="00143412" w:rsidRPr="00EB45B4" w:rsidRDefault="00847036" w:rsidP="00EB45B4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B45B4">
        <w:rPr>
          <w:rFonts w:ascii="Times New Roman" w:hAnsi="Times New Roman"/>
          <w:b/>
          <w:sz w:val="24"/>
          <w:szCs w:val="24"/>
        </w:rPr>
        <w:t>CAPÍTULO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EB45B4">
        <w:rPr>
          <w:rFonts w:ascii="Times New Roman" w:hAnsi="Times New Roman"/>
          <w:b/>
          <w:sz w:val="24"/>
          <w:szCs w:val="24"/>
        </w:rPr>
        <w:t>II</w:t>
      </w:r>
    </w:p>
    <w:p w14:paraId="5FFB3A20" w14:textId="555B4334" w:rsidR="00143412" w:rsidRPr="00EB45B4" w:rsidRDefault="00847036" w:rsidP="00EB45B4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B45B4">
        <w:rPr>
          <w:rFonts w:ascii="Times New Roman" w:hAnsi="Times New Roman"/>
          <w:b/>
          <w:sz w:val="24"/>
          <w:szCs w:val="24"/>
        </w:rPr>
        <w:t>DAS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EB45B4">
        <w:rPr>
          <w:rFonts w:ascii="Times New Roman" w:hAnsi="Times New Roman"/>
          <w:b/>
          <w:sz w:val="24"/>
          <w:szCs w:val="24"/>
        </w:rPr>
        <w:t>DISPOSIÇÕES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EB45B4">
        <w:rPr>
          <w:rFonts w:ascii="Times New Roman" w:hAnsi="Times New Roman"/>
          <w:b/>
          <w:sz w:val="24"/>
          <w:szCs w:val="24"/>
        </w:rPr>
        <w:t>GERAIS</w:t>
      </w:r>
    </w:p>
    <w:p w14:paraId="2F04AFF6" w14:textId="6852163C" w:rsidR="00143412" w:rsidRPr="00EB45B4" w:rsidRDefault="00847036" w:rsidP="00EB45B4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B45B4">
        <w:rPr>
          <w:rFonts w:ascii="Times New Roman" w:hAnsi="Times New Roman"/>
          <w:b/>
          <w:sz w:val="24"/>
          <w:szCs w:val="24"/>
        </w:rPr>
        <w:t>Seção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EB45B4">
        <w:rPr>
          <w:rFonts w:ascii="Times New Roman" w:hAnsi="Times New Roman"/>
          <w:b/>
          <w:sz w:val="24"/>
          <w:szCs w:val="24"/>
        </w:rPr>
        <w:t>I</w:t>
      </w:r>
    </w:p>
    <w:p w14:paraId="72295BB8" w14:textId="215B6A17" w:rsidR="00143412" w:rsidRPr="00EB45B4" w:rsidRDefault="00847036" w:rsidP="00EB45B4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B45B4">
        <w:rPr>
          <w:rFonts w:ascii="Times New Roman" w:hAnsi="Times New Roman"/>
          <w:b/>
          <w:sz w:val="24"/>
          <w:szCs w:val="24"/>
        </w:rPr>
        <w:t>Da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EB45B4">
        <w:rPr>
          <w:rFonts w:ascii="Times New Roman" w:hAnsi="Times New Roman"/>
          <w:b/>
          <w:sz w:val="24"/>
          <w:szCs w:val="24"/>
        </w:rPr>
        <w:t>documentação</w:t>
      </w:r>
    </w:p>
    <w:p w14:paraId="383EF3CC" w14:textId="2D01034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</w:t>
      </w:r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processo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instruído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Decreto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4.074,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janeiro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2002,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atualizações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outra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legislação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específica.</w:t>
      </w:r>
    </w:p>
    <w:p w14:paraId="48B51610" w14:textId="55343718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§1º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laudo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laboratorial,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item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13.1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14.4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Decreto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4.074,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2002,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contendo,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mínimo,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concentração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ingrediente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ativo,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aparência,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cor,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físico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densidade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aparente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específica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lote(s)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do(s)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produto(s)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formulado(s)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produzido(s)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formuladores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pleitos.</w:t>
      </w:r>
    </w:p>
    <w:p w14:paraId="15CF4D4A" w14:textId="1DFFA0F6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declaração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composição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itens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12.1,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13.1,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14.4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16.1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Decreto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4.074,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2002,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acrescida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químico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números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Chemical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Abstract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Services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(CAS),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disponíveis,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concentração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nominal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formulados.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107D14C" w14:textId="6BEDEEC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§3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fabricante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além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requisitos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relacionados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itens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12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16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Decreto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4.074,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2002: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91302E3" w14:textId="32DB7A29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histórico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processo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síntese,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especificando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desenvolvimento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escala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piloto,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ampliação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escala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comercial;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215AD463" w14:textId="2D5F5CE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descrição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processo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síntese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contendo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gerais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matérias-primas,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nomenclatura,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fórmula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estrutural,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número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pureza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mínima;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6F297F6" w14:textId="20F8FBA7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testes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controle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matérias-primas;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2BD919A3" w14:textId="7214A5C7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identificação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controle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críticos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processo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síntese;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AF59058" w14:textId="2E40A623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discussão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potencial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degradação,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relevância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durante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período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validade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produto;</w:t>
      </w:r>
    </w:p>
    <w:p w14:paraId="7683043B" w14:textId="31FF7CD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VI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especificação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composição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fabricante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discussão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impurezas.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557B44E" w14:textId="375E1A1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</w:t>
      </w:r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acompanhadas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seguintes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documentos: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0313B8E" w14:textId="18A8C1A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Guia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Recolhimento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União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Fiscalização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Vigilância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Sanitária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(TFVS)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acompanhada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respectivo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comprovante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pagamento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justificativa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isenção,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caso;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BE37C7D" w14:textId="26B5C6D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formulário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devidamente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preenchido;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8062E39" w14:textId="1B43A64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solicitação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acompanhado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exigidos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legislação;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F229465" w14:textId="69C4B4E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dossiê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requisitos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definidos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norma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complementar.</w:t>
      </w:r>
    </w:p>
    <w:p w14:paraId="673D54E2" w14:textId="2A882CD3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Quando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algum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exigido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aplicável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determinado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acompanhada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justificativa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suporte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aplicabilidade.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13D79F3" w14:textId="6630444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Na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ausência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legislação,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consultar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previamente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submissão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necessidade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adicionais.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5DFA7D0" w14:textId="564D6573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§3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dispensados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mediante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justificativa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fundamentada,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tragam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elementos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impossibilidade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desfechos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sejam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suficientes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tomada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decisão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segurança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produto.</w:t>
      </w:r>
    </w:p>
    <w:p w14:paraId="10F5188C" w14:textId="3A78D9A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§4º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mediante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justificativa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fundamentada,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exigir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adicionais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comprovação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segurança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elucidação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modo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mecanismo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exigência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ocorrer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mesmo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após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aprovação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ficando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interessadas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obrigadas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atualizados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38BE42C" w14:textId="7117F77B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§5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solicitar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brutos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cinco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bateladas.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0AD6A07" w14:textId="4BD454A6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</w:t>
      </w:r>
      <w:proofErr w:type="gramStart"/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primárias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além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previstos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</w:t>
      </w:r>
      <w:r w:rsidR="008B779E">
        <w:rPr>
          <w:rFonts w:ascii="Times New Roman" w:hAnsi="Times New Roman"/>
          <w:sz w:val="24"/>
          <w:szCs w:val="24"/>
        </w:rPr>
        <w:t>º</w:t>
      </w:r>
      <w:r w:rsidRPr="00103539">
        <w:rPr>
          <w:rFonts w:ascii="Times New Roman" w:hAnsi="Times New Roman"/>
          <w:sz w:val="24"/>
          <w:szCs w:val="24"/>
        </w:rPr>
        <w:t>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acompanhadas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Parecer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(PATE).</w:t>
      </w:r>
    </w:p>
    <w:p w14:paraId="33003F14" w14:textId="0724689F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demonstrar,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PATE,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requisitos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sanitária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cumpridos.</w:t>
      </w:r>
    </w:p>
    <w:p w14:paraId="1B55D267" w14:textId="03FEBC5C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assinado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responsável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responsável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área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regulatória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representante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legal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registro.</w:t>
      </w:r>
    </w:p>
    <w:p w14:paraId="6AB36858" w14:textId="0ABB9F3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orientações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respeito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submissão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formato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disponibilizadas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eletrônico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Anvisa.</w:t>
      </w:r>
    </w:p>
    <w:p w14:paraId="67369B6D" w14:textId="3C3F87C5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indicar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processo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sigilosas,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justificando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termos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Acesso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Informação.</w:t>
      </w:r>
    </w:p>
    <w:p w14:paraId="0DB9EFAC" w14:textId="06CF6FD7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6</w:t>
      </w:r>
      <w:proofErr w:type="gramStart"/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métodos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alternativos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Conselho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Nacional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Controle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Experimentação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(CONCEA),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Organização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Cooperação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Desenvolvimento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Econômico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(OCDE)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outras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tenham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similaridade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requisitos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regulatórios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validação: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967F0AF" w14:textId="6CB853F4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disponibilizar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protocolo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validado;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6937BE4" w14:textId="66EB3F8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reconhecer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método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alternativo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substituto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experimentação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integrante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estratégia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teste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fases,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aplicável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regulatórios.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E956F49" w14:textId="07F97E4B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7</w:t>
      </w:r>
      <w:proofErr w:type="gramStart"/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vertebrados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apenas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BBA14D5" w14:textId="0BC35DFB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método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alternativo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atender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6</w:t>
      </w:r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Resolução;</w:t>
      </w:r>
    </w:p>
    <w:p w14:paraId="08E4FEF7" w14:textId="3DDDF00C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estratégia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testes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fases,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abordagem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inconclusivo;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C129D3E" w14:textId="42618E7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houver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justificativa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técnico-científica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praticabilidade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método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alternativo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função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características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físico-químicas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limitação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teste.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8F84C8F" w14:textId="6558258B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8</w:t>
      </w:r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cumprimento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acordo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protocolos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vigentes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OCDE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outras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tenham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similaridade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requisitos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validação.</w:t>
      </w:r>
    </w:p>
    <w:p w14:paraId="5FA68FB1" w14:textId="5166884E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Caso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protocolos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caput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estejam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disponíveis,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procedimentos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utilizados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condução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descritos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utilização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justificada.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A9F8298" w14:textId="0579890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relatórios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origem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substituídos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cópias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científicos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indexados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revistas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científicas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política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editorial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seletiva.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AF60980" w14:textId="639C0467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Art.9</w:t>
      </w:r>
      <w:proofErr w:type="gramStart"/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utilizados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conduzidos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acordo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princípios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Boas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Práticas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Laboratório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(BPL),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exceção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científicos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mencionados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§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8º.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9FE5F14" w14:textId="2D5B9AA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10.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divulgar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eletrônico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contendo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fundamentaram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deferimento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indeferimento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C52BA01" w14:textId="515DC39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11.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tenha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similaridade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medidas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controles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requisitos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Brasil,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utilizado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auxiliar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Brasil,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2F703BE4" w14:textId="3E998C35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esteja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país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tenha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similaridade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medidas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controles;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7953718" w14:textId="7020D9D7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tenha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acesso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referência.</w:t>
      </w:r>
    </w:p>
    <w:p w14:paraId="025D43C5" w14:textId="6932E021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No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equivalentes,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utilização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outras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aplica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Fases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III.</w:t>
      </w:r>
    </w:p>
    <w:p w14:paraId="3D38D96C" w14:textId="37A45E8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§2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Para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aplicabilidade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caput,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solicitante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45FEC5B" w14:textId="6576D15B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todos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Resolução;</w:t>
      </w:r>
    </w:p>
    <w:p w14:paraId="09FE7281" w14:textId="5326282F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relatórios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elaborados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reguladora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estrangeira;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E315315" w14:textId="5E19B29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Parecer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(PATE),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contendo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registrante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mesmo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referência,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inclusive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ao(s)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seu(s)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fabricante(s),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incluindo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racional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técnico-científico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eventuais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diferenças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submetido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Brasil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segurança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5C1000D" w14:textId="6A9CC330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Seção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II</w:t>
      </w:r>
    </w:p>
    <w:p w14:paraId="6B6BFE35" w14:textId="5265C28A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Do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Relatório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Anual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Produto</w:t>
      </w:r>
    </w:p>
    <w:p w14:paraId="021A82BE" w14:textId="197BB1CE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12.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elaboração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Relatório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Anual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(RAP)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responsabilidade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detentora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registro.</w:t>
      </w:r>
    </w:p>
    <w:p w14:paraId="597DB35E" w14:textId="3662E3B4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13.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RAP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conter: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3C5C04D" w14:textId="1429BE47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relação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lotes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produzidos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importados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respectivos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locais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fabricação;</w:t>
      </w:r>
    </w:p>
    <w:p w14:paraId="10E77E66" w14:textId="12B0EF97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relação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modificações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pós-registro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respectivas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datas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implementação;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28B609DC" w14:textId="5864A8E6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fabricantes/fornecedores,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marcas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comerciais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sinonímias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caracterizados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aditivos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outros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ingredientes;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BB33024" w14:textId="32FE4AD5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demais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caracterizem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pós-registro,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atualizem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registro.</w:t>
      </w:r>
    </w:p>
    <w:p w14:paraId="7E912D58" w14:textId="1A0750E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14.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disponibilizadas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RAP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atualizadas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anualmente,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mês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aniversário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emissão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certificado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compreender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ocorreram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12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(doze)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meses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anteriores.</w:t>
      </w:r>
    </w:p>
    <w:p w14:paraId="538604F8" w14:textId="47FAE13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RAP,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13,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disponíveis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competente.</w:t>
      </w:r>
    </w:p>
    <w:p w14:paraId="59B820E3" w14:textId="039AFA2E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Seção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</w:t>
      </w:r>
    </w:p>
    <w:p w14:paraId="7FCB3208" w14:textId="1821A20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priorização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</w:p>
    <w:p w14:paraId="34902425" w14:textId="3EB2014C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15.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priorizar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definidos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atendidas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condições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12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Decreto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4.074,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2002.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7DDF463D" w14:textId="1ADAEB37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16.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priorização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efetuados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peticionamento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submissão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Anvisa.</w:t>
      </w:r>
    </w:p>
    <w:p w14:paraId="02E8C08D" w14:textId="124B1D3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caput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efetuados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devidamente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reconhecidas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responsáveis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respectivas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pretenda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aplicar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7FD7711" w14:textId="7C4A3042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17.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priorização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periculosidade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atendam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requisitos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abaixo:</w:t>
      </w:r>
    </w:p>
    <w:p w14:paraId="5840294A" w14:textId="6CA3080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não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suspeita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carcinogenicidade,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mutagenicidade</w:t>
      </w:r>
      <w:proofErr w:type="spellEnd"/>
      <w:r w:rsidRPr="00103539">
        <w:rPr>
          <w:rFonts w:ascii="Times New Roman" w:hAnsi="Times New Roman"/>
          <w:sz w:val="24"/>
          <w:szCs w:val="24"/>
        </w:rPr>
        <w:t>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reprodutiva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desregulação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endócrina;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C1CFE30" w14:textId="11493B59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não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sejam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sensibilizantes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cutâneos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respiratórios;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938AED0" w14:textId="2108ECB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sejam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corrosivos/irritantes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cutâneos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oculares;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C746917" w14:textId="1149816F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não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neurotóxicos</w:t>
      </w:r>
      <w:proofErr w:type="spellEnd"/>
      <w:r w:rsidRPr="00103539">
        <w:rPr>
          <w:rFonts w:ascii="Times New Roman" w:hAnsi="Times New Roman"/>
          <w:sz w:val="24"/>
          <w:szCs w:val="24"/>
        </w:rPr>
        <w:t>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EA954FB" w14:textId="00A83987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não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imunotóxicos</w:t>
      </w:r>
      <w:proofErr w:type="spellEnd"/>
      <w:r w:rsidRPr="00103539">
        <w:rPr>
          <w:rFonts w:ascii="Times New Roman" w:hAnsi="Times New Roman"/>
          <w:sz w:val="24"/>
          <w:szCs w:val="24"/>
        </w:rPr>
        <w:t>;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841B643" w14:textId="7D6904B7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VI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que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sejam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“Não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Classificado”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aguda.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20970E9" w14:textId="45B2DA0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18.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Também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periculosidade: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AAC2460" w14:textId="4B916D6D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controle;</w:t>
      </w:r>
    </w:p>
    <w:p w14:paraId="516E50F6" w14:textId="4230144F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semioquímicos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características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“Não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Classificado”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aguda;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4F4A9FB" w14:textId="03566DA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microbiológicos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características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“Não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Classificado”,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aguda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relacionados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infectividade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patogenicidade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organismos-testes.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71D01557" w14:textId="7A1E69B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19.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priorizada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restituída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ordinária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durante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constatado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atende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requisitos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priorização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definidos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69D41BF" w14:textId="7AC3C1E4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CAPÍTULO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III</w:t>
      </w:r>
    </w:p>
    <w:p w14:paraId="383FF7E7" w14:textId="2D68645F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DA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AVALIAÇÃO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TOXICOLÓGICA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PRODUTOS</w:t>
      </w:r>
    </w:p>
    <w:p w14:paraId="52E99D6B" w14:textId="4BDAC911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Seção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I</w:t>
      </w:r>
    </w:p>
    <w:p w14:paraId="654F5009" w14:textId="7E4D53ED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Dos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estudos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informações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exigidos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para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avaliação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toxicológica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agrotóxicos,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afins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preservativos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madeira</w:t>
      </w:r>
    </w:p>
    <w:p w14:paraId="6FDBD7DF" w14:textId="41D149FE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relacionados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formulados,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aqueles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relacionados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II.</w:t>
      </w:r>
    </w:p>
    <w:p w14:paraId="4A283ED2" w14:textId="743531E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Para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Fases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equivalência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constantes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III,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prejuízo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legislação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específica.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25C32446" w14:textId="79A88F86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relacionados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origem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definição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resíduos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seguem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legislações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específicas.</w:t>
      </w:r>
    </w:p>
    <w:p w14:paraId="07679427" w14:textId="54D86031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21.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propriedades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físico-químicas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ingredientes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ainda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país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maior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grau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pureza.</w:t>
      </w:r>
    </w:p>
    <w:p w14:paraId="4B67B6A3" w14:textId="548FB815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22.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cujo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conduzido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bateladas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produzidas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escala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piloto,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cinco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bateladas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sejam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representativas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escala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industrial.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C731CD1" w14:textId="4836EBDB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Quando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identificarem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processo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ainda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tiver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iniciada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órgãos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federais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responsáveis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relatório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aditamento.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D505529" w14:textId="6E94EE79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Quando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identificarem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primeiro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Relatório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Anual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após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estabilização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escala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industrial.</w:t>
      </w:r>
    </w:p>
    <w:p w14:paraId="6622091A" w14:textId="13D37CF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§3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Quando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identificarem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quantitativa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tiver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iniciada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concluída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órgãos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federais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responsáveis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relatório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pós-registro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específica.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0B72048" w14:textId="22430C9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23.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pré</w:t>
      </w:r>
      <w:proofErr w:type="spellEnd"/>
      <w:r w:rsidRPr="00103539">
        <w:rPr>
          <w:rFonts w:ascii="Times New Roman" w:hAnsi="Times New Roman"/>
          <w:sz w:val="24"/>
          <w:szCs w:val="24"/>
        </w:rPr>
        <w:t>-misturas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comercializadas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transportadas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entre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unidades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fabris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relacionados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09E73BD" w14:textId="158B004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Para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pré</w:t>
      </w:r>
      <w:proofErr w:type="spellEnd"/>
      <w:r w:rsidRPr="00103539">
        <w:rPr>
          <w:rFonts w:ascii="Times New Roman" w:hAnsi="Times New Roman"/>
          <w:sz w:val="24"/>
          <w:szCs w:val="24"/>
        </w:rPr>
        <w:t>-misturas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caput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artigo,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mínimo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determinação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ingrediente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previamente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utilização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formulação.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15845CB" w14:textId="6EA753E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§2º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pré</w:t>
      </w:r>
      <w:proofErr w:type="spellEnd"/>
      <w:r w:rsidRPr="00103539">
        <w:rPr>
          <w:rFonts w:ascii="Times New Roman" w:hAnsi="Times New Roman"/>
          <w:sz w:val="24"/>
          <w:szCs w:val="24"/>
        </w:rPr>
        <w:t>-misturas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caput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armazenadas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recipientes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linha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comprove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integridade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pré</w:t>
      </w:r>
      <w:proofErr w:type="spellEnd"/>
      <w:r w:rsidRPr="00103539">
        <w:rPr>
          <w:rFonts w:ascii="Times New Roman" w:hAnsi="Times New Roman"/>
          <w:sz w:val="24"/>
          <w:szCs w:val="24"/>
        </w:rPr>
        <w:t>-mistura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condições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prazo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máximo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armazenamento,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ingrediente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impurezas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toxicologicamente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relevantes,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oriundas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degradação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534E63C" w14:textId="65E140A4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§3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parágrafos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anteriores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mantidos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fiscalizadoras.</w:t>
      </w:r>
    </w:p>
    <w:p w14:paraId="0A1386EB" w14:textId="18A07C8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24.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pleitos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mesmos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bibliográficas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descritos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comunicação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F43092F" w14:textId="36BDB87F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Seção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II</w:t>
      </w:r>
    </w:p>
    <w:p w14:paraId="40DBC1C3" w14:textId="7EA23B7A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Da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lista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componentes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não-ativos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não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autorizados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para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uso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em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agrotóxicos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afins</w:t>
      </w:r>
    </w:p>
    <w:p w14:paraId="57BC09AA" w14:textId="45BF3E9A" w:rsidR="00143412" w:rsidRDefault="00AF49B1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Art.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25.</w:t>
      </w:r>
      <w:r>
        <w:rPr>
          <w:rFonts w:ascii="Times New Roman" w:hAnsi="Times New Roman"/>
          <w:sz w:val="24"/>
          <w:szCs w:val="24"/>
        </w:rPr>
        <w:t xml:space="preserve">  </w:t>
      </w:r>
      <w:r w:rsidR="00847036" w:rsidRPr="00103539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lista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componentes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não-ativos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não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autorizados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uso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agrotóxicos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afins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composta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pela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relação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componentes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não-ativos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categorizados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como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mutagênicos,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carcinogênicos,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teratogênicos,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causadores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dano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aparelho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reprodutor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distúrbios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hormonais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seus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respectivos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números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CAS,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quando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aplicável.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8C0B933" w14:textId="1066249F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atualização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negativa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não-ativos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surgirem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não-ativo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características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caput.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2FB34516" w14:textId="0B13C357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Seção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III</w:t>
      </w:r>
    </w:p>
    <w:p w14:paraId="4243CE0D" w14:textId="2EB4B95B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Dos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critérios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avaliação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toxicológica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produtos</w:t>
      </w:r>
    </w:p>
    <w:p w14:paraId="59589421" w14:textId="48E4E49E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26.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feita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força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identificação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perigo.</w:t>
      </w:r>
    </w:p>
    <w:p w14:paraId="1CB4AE29" w14:textId="2377B19B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27.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mutagênico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mutações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células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germinativas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houver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suficientes,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potencial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mutagênico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partir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presume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mutações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células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germinativas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37A307F" w14:textId="39EC1113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mutagênico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células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somáticas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mutagênico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células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germinativas,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suficiente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demonstrando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induz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mutação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células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germinativas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mamífero.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ADEC95C" w14:textId="0FC6C439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28.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carcinogênico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possuir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potencial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induzir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aumentar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incidência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câncer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houver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suficientes,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induz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aumenta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incidência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tumores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animais,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partir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presume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potencial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carcinogênico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exceto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houver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modo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mecanismo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tumores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seja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relevante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humanos.</w:t>
      </w:r>
    </w:p>
    <w:p w14:paraId="0E4B226F" w14:textId="5AE83F1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também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carcinogênico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possuir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limitada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carcinogenicidade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limitada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carcinogenicidade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experimentais,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7B175F33" w14:textId="1345A02E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29.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consequências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reprodução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aparelho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reprodutor,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função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reprodutiva,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teratogênicos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neonatais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lactação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decorrentes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lactação.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CFB39A4" w14:textId="26C2F4AC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30.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provoca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aparelho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reprodutor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fisiologia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reprodutiva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houver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suficientes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animais,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partir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presume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fisiologia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reprodutiva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AB5F009" w14:textId="4EC7F78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31.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Considera-se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provoca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desenvolvimento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embriofetal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neonatal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houver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houver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animais,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partir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presume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desenvolvimento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embriofetal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neonatal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1FD45B3" w14:textId="1C14393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teratogênico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estrutural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permanente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deficiência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funcional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impactam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sobrevida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vida,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exposição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durante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período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desenvolvimento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embrionário.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4C2ECC5" w14:textId="4EA0307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desenvolvimento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embriofetal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neonatal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ocorrerem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presença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materna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direta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organismo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desenvolvimento,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possa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demonstrado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concepto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neonato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secundário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materna.</w:t>
      </w:r>
    </w:p>
    <w:p w14:paraId="45254007" w14:textId="665B5ED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32.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provoca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distúrbio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hormonal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desregulação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endócrina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relevante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consequência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modo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mecanismo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endócrino.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ACC4CB1" w14:textId="05EE6B7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33.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pedido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indeferido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etapas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identificação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dose-resposta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indicarem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suficientes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categorizados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conhecidos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presumidamente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mutagênicos,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carcinogênicos,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teratogênicos,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causadores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desenvolvimento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embriofetal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neonatal,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aparelho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reprodutor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distúrbios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hormonais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possível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determinar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limiar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algum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desses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desfechos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permita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proceder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demais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etapas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risco,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definidos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norma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complementar.</w:t>
      </w:r>
    </w:p>
    <w:p w14:paraId="37DBD91F" w14:textId="55520B59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34.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sensibilizante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respiratório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provocar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hipersensibilidade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aéreas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partir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evidência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animais,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positivos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animais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experimentais,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F065DE0" w14:textId="10B48F7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35.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Sem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prejuízos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Decreto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4.074,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2002,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corrosão/irritação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cutânea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corrosão/irritação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ocular,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perfil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equivalente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perfil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referência,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maior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acordo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equivalência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Organização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Unidas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Agricultura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Alimentação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(FAO).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84FE195" w14:textId="09A21235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36.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microrganismos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risco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biológico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termos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Portaria/MS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</w:t>
      </w:r>
      <w:r w:rsidR="008B779E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2.349,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14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setembro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2017,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competente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internacionalmente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reconhecida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autorizados.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AB6D245" w14:textId="4072B4F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contendo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microrganismos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pertencentes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risco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biológico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autorizado,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aceite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justificativa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obrigatória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comunicação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rótulo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bula.</w:t>
      </w:r>
    </w:p>
    <w:p w14:paraId="3BC83658" w14:textId="1AA240DF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CAPÍTULO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IV</w:t>
      </w:r>
    </w:p>
    <w:p w14:paraId="60A1598B" w14:textId="05DAE4A3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DA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CLASSIFICAÇÃO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TOXICOLÓGICA</w:t>
      </w:r>
    </w:p>
    <w:p w14:paraId="1A811B71" w14:textId="4841CB3C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Seção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I</w:t>
      </w:r>
    </w:p>
    <w:p w14:paraId="297595EC" w14:textId="32A893E4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Das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categorias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classificação</w:t>
      </w:r>
    </w:p>
    <w:p w14:paraId="0FBE2D73" w14:textId="0E902B56" w:rsidR="00143412" w:rsidRDefault="00AF49B1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847036" w:rsidRPr="00103539">
        <w:rPr>
          <w:rFonts w:ascii="Times New Roman" w:hAnsi="Times New Roman"/>
          <w:sz w:val="24"/>
          <w:szCs w:val="24"/>
        </w:rPr>
        <w:t>Art.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37.</w:t>
      </w:r>
      <w:r>
        <w:rPr>
          <w:rFonts w:ascii="Times New Roman" w:hAnsi="Times New Roman"/>
          <w:sz w:val="24"/>
          <w:szCs w:val="24"/>
        </w:rPr>
        <w:t xml:space="preserve">  </w:t>
      </w:r>
      <w:r w:rsidR="00847036" w:rsidRPr="00103539"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fins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classificação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toxicológica,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são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adotados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critérios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baseados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Sistema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Globalmente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Harmonizado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Classificação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Rotulagem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Produtos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Químicos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(GHS).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4EABB25" w14:textId="05B8BBA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atualizações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diretrizes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gerais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rotulagem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GHS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necessário,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prazo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adequação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normativo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específico.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15AF1EF" w14:textId="6CD0750D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38.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aguda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(DL50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oral),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cutânea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(DL50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cutânea)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inalatória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(CL50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inalatória),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IV.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760AB6A3" w14:textId="1333E43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cinco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feita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restritiva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atribuída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resultados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aguda,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cutânea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inalatória.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7038397" w14:textId="6C211706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Quando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houver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conhecimento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possuem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significantes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saúde,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reversíveis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irreversíveis,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imediatos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tardios,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também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IV,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limites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GHS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misturas.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6E2880D" w14:textId="7A975296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§3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feita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função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desfechos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5920C9A" w14:textId="7F8112C1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§4º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pesquisa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experimentação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Brasil,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termos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Decreto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4.074,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2002,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cujas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saúde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conhecidas,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receberão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emitida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titular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rotulagem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cuidados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manipulação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aplicação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tomar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precauções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cuidados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necessários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evite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máximo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possível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exposição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usuário.</w:t>
      </w:r>
    </w:p>
    <w:p w14:paraId="333AF237" w14:textId="01C0C774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39.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função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aguda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determinada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identificada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respectivos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nomes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faixas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rótulo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acordo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abaixo: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CD592A3" w14:textId="0D45F38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Extremamente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Tóxico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–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vermelha;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3A59298" w14:textId="4479597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Tóxico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–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vermelha;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B3BB95B" w14:textId="7A7A841A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Moderadamente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Tóxico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–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amarela;</w:t>
      </w:r>
    </w:p>
    <w:p w14:paraId="285FD585" w14:textId="0E9CACDC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Pouco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Tóxico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–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azul;</w:t>
      </w:r>
    </w:p>
    <w:p w14:paraId="717F7971" w14:textId="7AA7C79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5: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Improvável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Agudo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–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azul;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</w:p>
    <w:p w14:paraId="269A816F" w14:textId="627846F7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VI-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–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verde.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5367E31" w14:textId="3382F1A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necessária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atribuição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faixa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técnicos.</w:t>
      </w:r>
    </w:p>
    <w:p w14:paraId="0D00B702" w14:textId="0B515E4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40.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origem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biológica,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dispensados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legislação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específica,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0F95224" w14:textId="51F95D9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41.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aguda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comunicação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determinada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características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concentrações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impurezas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outros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similares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testados,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embasar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tecnicamente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necessários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extrapolação.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5BA10A4" w14:textId="02E40C3A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42.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mutagenicidade</w:t>
      </w:r>
      <w:proofErr w:type="spell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acordo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descrição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IV.</w:t>
      </w:r>
    </w:p>
    <w:p w14:paraId="34E97D12" w14:textId="59B98AB8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43.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carcinogenicidade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acordo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descrição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IV.</w:t>
      </w:r>
    </w:p>
    <w:p w14:paraId="68DFFD7F" w14:textId="14851AA4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44.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reprodutiva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acordo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descrição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6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IV.</w:t>
      </w:r>
    </w:p>
    <w:p w14:paraId="2FBC6A5B" w14:textId="160F8ADF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adicional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suspeito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causar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efeito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adverso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lactação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lactação.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72EC6F88" w14:textId="2F174FDC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45.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reclassificado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surgirem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adicionais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relevantes,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mediante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657A6A3" w14:textId="36ABA5B3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46.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comunicação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rótulos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bulas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desfechos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relevantes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determinada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acordo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1A4B4FA" w14:textId="7E87AC8E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permitido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órgão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específico,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539">
        <w:rPr>
          <w:rFonts w:ascii="Times New Roman" w:hAnsi="Times New Roman"/>
          <w:sz w:val="24"/>
          <w:szCs w:val="24"/>
        </w:rPr>
        <w:t>mutagenicidade</w:t>
      </w:r>
      <w:proofErr w:type="spellEnd"/>
      <w:r w:rsidRPr="00103539">
        <w:rPr>
          <w:rFonts w:ascii="Times New Roman" w:hAnsi="Times New Roman"/>
          <w:sz w:val="24"/>
          <w:szCs w:val="24"/>
        </w:rPr>
        <w:t>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carcinogenicidade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lastRenderedPageBreak/>
        <w:t>reprodutiva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comunicação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limites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estabelecidos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GHS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misturas.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1D70F985" w14:textId="6174BE9C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Seção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II</w:t>
      </w:r>
    </w:p>
    <w:p w14:paraId="6053E7E0" w14:textId="0DED543D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Da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comparação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ação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tóxica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de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agrotóxicos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afins</w:t>
      </w:r>
    </w:p>
    <w:p w14:paraId="7F1CA8BE" w14:textId="7E4005D2" w:rsidR="00143412" w:rsidRDefault="00AF49B1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847036" w:rsidRPr="00103539">
        <w:rPr>
          <w:rFonts w:ascii="Times New Roman" w:hAnsi="Times New Roman"/>
          <w:sz w:val="24"/>
          <w:szCs w:val="24"/>
        </w:rPr>
        <w:t>Art.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47.</w:t>
      </w:r>
      <w:r>
        <w:rPr>
          <w:rFonts w:ascii="Times New Roman" w:hAnsi="Times New Roman"/>
          <w:sz w:val="24"/>
          <w:szCs w:val="24"/>
        </w:rPr>
        <w:t xml:space="preserve">  </w:t>
      </w:r>
      <w:r w:rsidR="00847036" w:rsidRPr="00103539"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fins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verificação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maior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tóxica,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devem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ser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comparados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novos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agrotóxicos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afins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aqueles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já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registrados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(s)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mesmo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(s)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ingrediente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(s)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ativo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(s),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mesmo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tipo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formulação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mesma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faixa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menor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concentração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ingrediente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ativo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estabelecida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declaração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composição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qualitativa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="00847036" w:rsidRPr="00103539">
        <w:rPr>
          <w:rFonts w:ascii="Times New Roman" w:hAnsi="Times New Roman"/>
          <w:sz w:val="24"/>
          <w:szCs w:val="24"/>
        </w:rPr>
        <w:t>quantitativa.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9BE42C1" w14:textId="21706C90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48.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Atendidos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critérios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comparação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47,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indeferido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pedido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pós-registro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enquadrado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categoria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maior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outros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1095A58" w14:textId="62016FDD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CAPÍTULO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V</w:t>
      </w:r>
    </w:p>
    <w:p w14:paraId="7501CE09" w14:textId="417E3E34" w:rsidR="00143412" w:rsidRPr="008B779E" w:rsidRDefault="00847036" w:rsidP="008B77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B779E">
        <w:rPr>
          <w:rFonts w:ascii="Times New Roman" w:hAnsi="Times New Roman"/>
          <w:b/>
          <w:sz w:val="24"/>
          <w:szCs w:val="24"/>
        </w:rPr>
        <w:t>DISPOSIÇÕES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FINAIS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E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8B779E">
        <w:rPr>
          <w:rFonts w:ascii="Times New Roman" w:hAnsi="Times New Roman"/>
          <w:b/>
          <w:sz w:val="24"/>
          <w:szCs w:val="24"/>
        </w:rPr>
        <w:t>TRANSITÓRIAS</w:t>
      </w:r>
    </w:p>
    <w:p w14:paraId="19744AC5" w14:textId="01FF80D5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49.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pós-registro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protocoladas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vigência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encontram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Gerência-Geral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Toxicologia,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7DD97AB" w14:textId="02AD20C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momento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tenha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referida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adequação,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emitida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notificação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exigência.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6A79AD48" w14:textId="6692DC5F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50.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dossiê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verificar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necessidade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adequação,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considerando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Resolução.</w:t>
      </w:r>
    </w:p>
    <w:p w14:paraId="031FEF01" w14:textId="70EE2C6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§1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realizada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base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Anvisa.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D006C85" w14:textId="3289B5E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§2</w:t>
      </w:r>
      <w:proofErr w:type="gramStart"/>
      <w:r w:rsidRPr="00103539">
        <w:rPr>
          <w:rFonts w:ascii="Times New Roman" w:hAnsi="Times New Roman"/>
          <w:sz w:val="24"/>
          <w:szCs w:val="24"/>
        </w:rPr>
        <w:t>º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É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responsabilidade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detentora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verificação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aplicabilidade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adequações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necessárias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preservativos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madeira.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0E8B7C71" w14:textId="4F432519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51.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Informação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solicitar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código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assunto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específico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mediante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seguinte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documentação:</w:t>
      </w:r>
    </w:p>
    <w:p w14:paraId="71F6351C" w14:textId="6ED9CCF6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Guia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Recolhimento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União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relativa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Taxa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Fiscalização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Vigilância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Sanitária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(TFVS)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acompanhada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respectivo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comprovante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pagamento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justificativa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isenção,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caso;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7E2399B0" w14:textId="615062B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formulário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eletrônico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devidamente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preenchido;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75FF5CBC" w14:textId="41A6920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requerimento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solicitação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acompanhado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documentos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exigidos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legislação;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IV-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dossiê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requisitos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definidos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6441DC0" w14:textId="01948A2A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apresentação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pedido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conforme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disposto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caput,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ensejará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suspensão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situação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esteja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regularizada.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43C5D6DE" w14:textId="6F8725B9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52.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reclassificados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ingredientes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ativos.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526D60D5" w14:textId="5BF56F1E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53.</w:t>
      </w:r>
      <w:r w:rsidR="00AF49B1">
        <w:rPr>
          <w:rFonts w:ascii="Times New Roman" w:hAnsi="Times New Roman"/>
          <w:sz w:val="24"/>
          <w:szCs w:val="24"/>
        </w:rPr>
        <w:t xml:space="preserve">  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formulados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contiverem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composição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não-ativos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especificados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negativa.</w:t>
      </w:r>
    </w:p>
    <w:p w14:paraId="1C2F4122" w14:textId="293827F2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54.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responsável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composição/formulação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seus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verificar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presença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autorizados.</w:t>
      </w:r>
      <w:r w:rsidR="00AF49B1">
        <w:rPr>
          <w:rFonts w:ascii="Times New Roman" w:hAnsi="Times New Roman"/>
          <w:sz w:val="24"/>
          <w:szCs w:val="24"/>
        </w:rPr>
        <w:t xml:space="preserve"> </w:t>
      </w:r>
    </w:p>
    <w:p w14:paraId="39C12733" w14:textId="38E361BF" w:rsidR="004C3529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formulações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contenham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estejam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contidos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negativa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devem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protocolo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pós-registro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formulação,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prazo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definido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quando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ou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atualização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lista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negativa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componentes,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sob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suspensão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aprovação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toxicológica.</w:t>
      </w:r>
    </w:p>
    <w:p w14:paraId="2E483F05" w14:textId="4133A183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55.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Até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atualização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Instrução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Normativa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Conjunta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01,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18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abril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2013,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classificações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Anexo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referida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Instrução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utilizadas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apenas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dispensa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estudos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pleitos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alterações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formulação.</w:t>
      </w:r>
    </w:p>
    <w:p w14:paraId="22712B00" w14:textId="04EB7621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56.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medida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instituído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peticionamento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eletrônico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processos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trata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mais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permitido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peticionamento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manual.</w:t>
      </w:r>
    </w:p>
    <w:p w14:paraId="6A70400D" w14:textId="2E0C9398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Parágrafo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único.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Nos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casos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indisponibilidade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sistemas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peticionamento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eletrônico,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será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excepcionalmente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permitido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protocolo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peticionamento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manual.</w:t>
      </w:r>
    </w:p>
    <w:p w14:paraId="4D1FE8F6" w14:textId="72AB442B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57.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Revogam-se:</w:t>
      </w:r>
    </w:p>
    <w:p w14:paraId="011FE03B" w14:textId="1CB1C53E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3539">
        <w:rPr>
          <w:rFonts w:ascii="Times New Roman" w:hAnsi="Times New Roman"/>
          <w:sz w:val="24"/>
          <w:szCs w:val="24"/>
        </w:rPr>
        <w:t>a</w:t>
      </w:r>
      <w:proofErr w:type="gramEnd"/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Diretoria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Colegiada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RDC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347,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16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dezembro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2002,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Diário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Oficial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União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31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dezembro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2002,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pág.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88;</w:t>
      </w:r>
    </w:p>
    <w:p w14:paraId="2B334E28" w14:textId="6DB61EA6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II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-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itens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“l”,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“m”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item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1.1,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1.3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1.4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Portaria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3,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16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janeiro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1992,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Departamento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Técnico-Normativo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Secretaria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Vigilância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Sanitária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Ministério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Saúde,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“Diretrizes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exigências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Ministério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Saúde,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extensão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afins”,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aprovadas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pelas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Divisões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Ecologia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Humana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Saúde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Ambiental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Avaliação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Riscos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como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“Diretrizes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exigências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Ministério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Saúde,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referentes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à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autorização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extensão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uso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agrotóxicos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afins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nº.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01,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9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dezembro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1991”,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publicadas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Diário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Oficial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União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13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dezembro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1991.</w:t>
      </w:r>
    </w:p>
    <w:p w14:paraId="74905002" w14:textId="2FE5075E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lastRenderedPageBreak/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58.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Fica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concedido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prazo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90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(noventa)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partir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elaboração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submissão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PATE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processos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encontram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fila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análise.</w:t>
      </w:r>
    </w:p>
    <w:p w14:paraId="62C1F47C" w14:textId="180479BF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59.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empresas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terão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prazo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90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(noventa)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dias,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contado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partir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Resolução,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para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protocolizar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pleito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reclassificação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toxicológica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produtos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registrados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que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trata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51.</w:t>
      </w:r>
    </w:p>
    <w:p w14:paraId="1BC3259E" w14:textId="5206AD24" w:rsidR="00143412" w:rsidRDefault="00847036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Art.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60.</w:t>
      </w:r>
      <w:r w:rsidR="00AF49B1">
        <w:rPr>
          <w:rFonts w:ascii="Times New Roman" w:hAnsi="Times New Roman"/>
          <w:sz w:val="24"/>
          <w:szCs w:val="24"/>
        </w:rPr>
        <w:t xml:space="preserve">  </w:t>
      </w:r>
      <w:r w:rsidRPr="00103539">
        <w:rPr>
          <w:rFonts w:ascii="Times New Roman" w:hAnsi="Times New Roman"/>
          <w:sz w:val="24"/>
          <w:szCs w:val="24"/>
        </w:rPr>
        <w:t>Esta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Resolução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entra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em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vigor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na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data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de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sua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publicação.</w:t>
      </w:r>
    </w:p>
    <w:p w14:paraId="3D6DBECB" w14:textId="77777777" w:rsidR="00EB45B4" w:rsidRDefault="00EB45B4" w:rsidP="00EB45B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60143C6" w14:textId="11E98DC9" w:rsidR="00143412" w:rsidRDefault="00847036" w:rsidP="00EB45B4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103539">
        <w:rPr>
          <w:rFonts w:ascii="Times New Roman" w:hAnsi="Times New Roman"/>
          <w:sz w:val="24"/>
          <w:szCs w:val="24"/>
        </w:rPr>
        <w:t>WILLIAM</w:t>
      </w:r>
      <w:r w:rsidR="00AF49B1">
        <w:rPr>
          <w:rFonts w:ascii="Times New Roman" w:hAnsi="Times New Roman"/>
          <w:sz w:val="24"/>
          <w:szCs w:val="24"/>
        </w:rPr>
        <w:t xml:space="preserve"> </w:t>
      </w:r>
      <w:r w:rsidRPr="00103539">
        <w:rPr>
          <w:rFonts w:ascii="Times New Roman" w:hAnsi="Times New Roman"/>
          <w:sz w:val="24"/>
          <w:szCs w:val="24"/>
        </w:rPr>
        <w:t>DIB</w:t>
      </w:r>
    </w:p>
    <w:p w14:paraId="65FD0885" w14:textId="77777777" w:rsidR="00EB45B4" w:rsidRDefault="00EB45B4" w:rsidP="00EB45B4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DC94DB6" w14:textId="0635EE98" w:rsidR="00847036" w:rsidRPr="004C3529" w:rsidRDefault="00847036" w:rsidP="004C3529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3529">
        <w:rPr>
          <w:rFonts w:ascii="Times New Roman" w:hAnsi="Times New Roman"/>
          <w:b/>
          <w:sz w:val="24"/>
          <w:szCs w:val="24"/>
        </w:rPr>
        <w:t>ANEXO</w:t>
      </w:r>
      <w:r w:rsidR="00AF49B1">
        <w:rPr>
          <w:rFonts w:ascii="Times New Roman" w:hAnsi="Times New Roman"/>
          <w:b/>
          <w:sz w:val="24"/>
          <w:szCs w:val="24"/>
        </w:rPr>
        <w:t xml:space="preserve"> </w:t>
      </w:r>
      <w:r w:rsidRPr="004C3529">
        <w:rPr>
          <w:rFonts w:ascii="Times New Roman" w:hAnsi="Times New Roman"/>
          <w:b/>
          <w:sz w:val="24"/>
          <w:szCs w:val="24"/>
        </w:rPr>
        <w:t>I</w:t>
      </w:r>
    </w:p>
    <w:p w14:paraId="09F5611D" w14:textId="31EF4D04" w:rsidR="00103539" w:rsidRPr="00103539" w:rsidRDefault="00103539" w:rsidP="004C3529">
      <w:pPr>
        <w:spacing w:after="200" w:line="240" w:lineRule="auto"/>
        <w:jc w:val="center"/>
        <w:rPr>
          <w:rFonts w:ascii="Times New Roman" w:hAnsi="Times New Roman"/>
          <w:b/>
          <w:cap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TÉCNICOS</w:t>
      </w:r>
    </w:p>
    <w:p w14:paraId="259B3BE6" w14:textId="7C7D5784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documentos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seguinte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ordem,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separados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folha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rosto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seção.</w:t>
      </w:r>
    </w:p>
    <w:p w14:paraId="04298F87" w14:textId="054A446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equivalência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definidos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legislação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específica.</w:t>
      </w:r>
    </w:p>
    <w:p w14:paraId="7B5D5431" w14:textId="5AC7199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1.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propriedades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físicas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químicas.</w:t>
      </w:r>
    </w:p>
    <w:p w14:paraId="1FDC484E" w14:textId="5F7CBE4D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Aparência,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físico;</w:t>
      </w:r>
    </w:p>
    <w:p w14:paraId="53CADA7B" w14:textId="5742D5EF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Estabilidade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térmica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ar;</w:t>
      </w:r>
    </w:p>
    <w:p w14:paraId="418559F3" w14:textId="2DC4137B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Solubilidade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água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solventes;</w:t>
      </w:r>
    </w:p>
    <w:p w14:paraId="2B5600B5" w14:textId="1A0B3B3B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Potencial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hidrogeniônico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(pH);</w:t>
      </w:r>
    </w:p>
    <w:p w14:paraId="520F5A05" w14:textId="2AEFC5C0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Ponto/faixa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fusão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ebulição;</w:t>
      </w:r>
    </w:p>
    <w:p w14:paraId="10C34F11" w14:textId="61710388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Densidade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aparente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específica;</w:t>
      </w:r>
    </w:p>
    <w:p w14:paraId="0954B695" w14:textId="6A75342D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Constante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dissociação;</w:t>
      </w:r>
    </w:p>
    <w:p w14:paraId="0E7CA579" w14:textId="1751101B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Coeficiente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octanol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/água;</w:t>
      </w:r>
    </w:p>
    <w:p w14:paraId="0D09F17A" w14:textId="4EEAC17B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Pressão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vapor;</w:t>
      </w:r>
    </w:p>
    <w:p w14:paraId="14344952" w14:textId="136CE9B6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Hidrólise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Fotólise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;</w:t>
      </w:r>
    </w:p>
    <w:p w14:paraId="479252BF" w14:textId="08C3916F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Distribuição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tamanho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partículas;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</w:p>
    <w:p w14:paraId="01AF1D4E" w14:textId="02DC7E4C" w:rsidR="004C3529" w:rsidRDefault="00103539" w:rsidP="004C3529">
      <w:pPr>
        <w:numPr>
          <w:ilvl w:val="0"/>
          <w:numId w:val="1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laboratorial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cinco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bateladas.</w:t>
      </w:r>
    </w:p>
    <w:p w14:paraId="547BF39D" w14:textId="189E7CE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12.1.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laboratorial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análises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cinco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bateladas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inclusive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solicitam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análise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equivalência,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conter,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mínimo: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451E31F2" w14:textId="1D9CAFA7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identificação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comprovação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unidade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fabricação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batelada;</w:t>
      </w:r>
    </w:p>
    <w:p w14:paraId="27444444" w14:textId="402B997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identificação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inequívoca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maiores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iguais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1,0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g/kg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(0,1%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m/m)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toxicologicamente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relevantes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quaisquer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níveis;</w:t>
      </w:r>
    </w:p>
    <w:p w14:paraId="58C66CC6" w14:textId="47CF31C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caracterização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duas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analíticas,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ultravioleta,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infravermelho,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ressonância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magnética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nuclear,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espectrometria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massa;</w:t>
      </w:r>
    </w:p>
    <w:p w14:paraId="50CB7B0C" w14:textId="046B983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IV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varredura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analítica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mostrando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perfil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analisado.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escala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permitir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existência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proporções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área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comprovem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existência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mesmas.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Ainda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leituras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comprimentos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onda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pico,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analítica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permitir,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assegurem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comprimento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onda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adequado;</w:t>
      </w:r>
    </w:p>
    <w:p w14:paraId="0B878008" w14:textId="4947E69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fechamento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analítico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batelada,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superior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igual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980g/kg,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seja,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fração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inferior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20g/kg;</w:t>
      </w:r>
    </w:p>
    <w:p w14:paraId="236A02AB" w14:textId="6DE1C77E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nome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químico,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número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disponível,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massa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molecular,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fórmula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molecular,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fórmula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estrutural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significante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e/ou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relevante;</w:t>
      </w:r>
    </w:p>
    <w:p w14:paraId="140B8C88" w14:textId="5BBE630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descrição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detalhada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métodos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analíticos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empregados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impurezas;</w:t>
      </w:r>
    </w:p>
    <w:p w14:paraId="0D829B99" w14:textId="3F3B08BC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certificados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padrões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analíticos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analisada,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contendo,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mínimo,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fabricação,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origem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mesmos;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</w:p>
    <w:p w14:paraId="4F8E2BD0" w14:textId="3E83476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IX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resultados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análises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média,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desvio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padrão,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cromatogramas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característicos,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áreas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tempos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retenção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cromatográficos,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acompanhados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curvas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calibração,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memórias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cálculo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discussão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detalhada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resultados.</w:t>
      </w:r>
    </w:p>
    <w:p w14:paraId="46B59556" w14:textId="4A5A214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12.2.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relatórios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validação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métodos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analíticos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acompanhar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análise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cinco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bateladas.</w:t>
      </w:r>
    </w:p>
    <w:p w14:paraId="6ECD14CB" w14:textId="75245CF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12.3.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parâmetros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validação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métodos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analíticos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seguir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normas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nacional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internacionalmente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aceitas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impurezas.</w:t>
      </w:r>
    </w:p>
    <w:p w14:paraId="21493AB0" w14:textId="22F8442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12.4.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métodos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reconhecidos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nacional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e/ou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internacionalmente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critérios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mínimos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validação/verificação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laboratório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executor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estudo.</w:t>
      </w:r>
    </w:p>
    <w:p w14:paraId="01B84BC1" w14:textId="28D17998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12.5.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sejam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feitas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adaptações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método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reconhecido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internacionalmente,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verificada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validação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completa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método.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7A89C1D7" w14:textId="36043637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12.6.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padrão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análogo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excepcionalmente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aceita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padrão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analítico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comercialmente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disponível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possível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sintetizar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isolar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quantidades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suficientes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permitir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inequívoca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substância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ainda,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fator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correção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puder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determinado:</w:t>
      </w:r>
    </w:p>
    <w:p w14:paraId="73338317" w14:textId="2E28B49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12.6.1.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isoladas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sintetizadas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fabricante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laboratório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quantidades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suficientes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permitir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inequívoca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substância.</w:t>
      </w:r>
    </w:p>
    <w:p w14:paraId="0643A431" w14:textId="7E73F95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12.6.2.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determinação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fator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correção,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mínimo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três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concentrações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diferentes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impureza/padrão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análogo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faixa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concentração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esperadas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determinações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área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duplicata.</w:t>
      </w:r>
    </w:p>
    <w:p w14:paraId="4B7C4DC6" w14:textId="2C113A8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12.7.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especificadas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fabricante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pesquisadas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laboratorial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cinco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bateladas.</w:t>
      </w:r>
    </w:p>
    <w:p w14:paraId="0F258B55" w14:textId="77777777" w:rsidR="004C3529" w:rsidRDefault="004C352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75A83848" w14:textId="46958A6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2.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toxicocinética</w:t>
      </w:r>
    </w:p>
    <w:p w14:paraId="150CF6F8" w14:textId="6EE5BC36" w:rsidR="004C3529" w:rsidRDefault="00103539" w:rsidP="004C3529">
      <w:pPr>
        <w:numPr>
          <w:ilvl w:val="0"/>
          <w:numId w:val="2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(DL50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oral);</w:t>
      </w:r>
    </w:p>
    <w:p w14:paraId="6B2D0CF4" w14:textId="628236C8" w:rsidR="004C3529" w:rsidRDefault="00103539" w:rsidP="004C3529">
      <w:pPr>
        <w:numPr>
          <w:ilvl w:val="0"/>
          <w:numId w:val="2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(DL50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cutânea);</w:t>
      </w:r>
    </w:p>
    <w:p w14:paraId="2F621C8A" w14:textId="4608033D" w:rsidR="004C3529" w:rsidRDefault="00103539" w:rsidP="004C3529">
      <w:pPr>
        <w:numPr>
          <w:ilvl w:val="0"/>
          <w:numId w:val="2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(CL50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inalatória);</w:t>
      </w:r>
    </w:p>
    <w:p w14:paraId="55372657" w14:textId="2F02051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    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dispensados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formulação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sólida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contendo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proporção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significante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(&gt;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99%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massa)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partículas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diâmetro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≥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μm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14:paraId="67DA5241" w14:textId="5D55B4EA" w:rsidR="004C3529" w:rsidRDefault="00103539" w:rsidP="004C3529">
      <w:pPr>
        <w:numPr>
          <w:ilvl w:val="0"/>
          <w:numId w:val="3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aguda;</w:t>
      </w:r>
    </w:p>
    <w:p w14:paraId="56C8ED0A" w14:textId="06912A4E" w:rsidR="004C3529" w:rsidRDefault="00103539" w:rsidP="004C3529">
      <w:pPr>
        <w:numPr>
          <w:ilvl w:val="0"/>
          <w:numId w:val="4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aguda;</w:t>
      </w:r>
    </w:p>
    <w:p w14:paraId="5DC737AB" w14:textId="54B98240" w:rsidR="004C3529" w:rsidRDefault="00103539" w:rsidP="004C3529">
      <w:pPr>
        <w:numPr>
          <w:ilvl w:val="0"/>
          <w:numId w:val="5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respiratória;</w:t>
      </w:r>
    </w:p>
    <w:p w14:paraId="7FA6B5D4" w14:textId="19FC60D6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6.1.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desfecho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toxicológico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referente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respiratória,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desenvolvimento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metodologia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validada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reconhecida,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humanos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animais,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possam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informações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válidas.</w:t>
      </w:r>
    </w:p>
    <w:p w14:paraId="1C41DD00" w14:textId="5EB2C6D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relativos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absorção,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distribuição,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metabolismo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excreção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(ADME)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metabolismo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existência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protocolo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específico.</w:t>
      </w:r>
    </w:p>
    <w:p w14:paraId="5B9FE5B9" w14:textId="439AED20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    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metabólitos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sejam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relevantes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determinação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perfil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toxicológico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Estratégias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estrutura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atividade,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métodos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alternativos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evidência.</w:t>
      </w:r>
    </w:p>
    <w:p w14:paraId="48F85A07" w14:textId="7216ACB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:</w:t>
      </w:r>
    </w:p>
    <w:p w14:paraId="5801B331" w14:textId="463C5E9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bacterianas;</w:t>
      </w:r>
    </w:p>
    <w:p w14:paraId="242234FF" w14:textId="22AD6E44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4F57DBC0" w14:textId="7535A3F3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</w:p>
    <w:p w14:paraId="5BB37A0C" w14:textId="0A55242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IV-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somáticas.</w:t>
      </w:r>
    </w:p>
    <w:p w14:paraId="17FE3DA2" w14:textId="3ECC038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detectados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bacterianas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respectivamente.</w:t>
      </w:r>
    </w:p>
    <w:p w14:paraId="01E20423" w14:textId="687D52D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micronúcleos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medula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óssea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feita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repetida,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momento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eutanásia.</w:t>
      </w:r>
    </w:p>
    <w:p w14:paraId="2F7CB20C" w14:textId="1CDA997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adicionais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supracitados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negativos,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exista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possa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alcançar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causar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alterações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gônadas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germinativas.</w:t>
      </w:r>
    </w:p>
    <w:p w14:paraId="79B026F8" w14:textId="577E7A0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8.4.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investigar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indução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qualquer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positivo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equívoco.</w:t>
      </w:r>
    </w:p>
    <w:p w14:paraId="3552368B" w14:textId="1128F55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8.5.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adicionais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qualquer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usando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positivo,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potenciais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mutágenos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Entretanto,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demonstrar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mutágeno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mutágeno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germinativas.</w:t>
      </w:r>
    </w:p>
    <w:p w14:paraId="18830E8E" w14:textId="314B8ECE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8.6.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substância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causar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contrário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substância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exista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substância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alcança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germinativas.</w:t>
      </w:r>
    </w:p>
    <w:p w14:paraId="355B8A8A" w14:textId="205FBAD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repetidas:</w:t>
      </w:r>
    </w:p>
    <w:p w14:paraId="7CC77765" w14:textId="562F29A3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repetidas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(noventa)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ratos;</w:t>
      </w:r>
    </w:p>
    <w:p w14:paraId="0921BA39" w14:textId="74E5076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repetidas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(noventa)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camundongos;</w:t>
      </w:r>
    </w:p>
    <w:p w14:paraId="43086D10" w14:textId="58EFE6C5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repetidas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(noventa)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roedores;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354CE89D" w14:textId="6DE9F260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IV-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repetidas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21/28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(vinte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um/vinte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oito)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dias;</w:t>
      </w:r>
    </w:p>
    <w:p w14:paraId="2CBE2472" w14:textId="41D16773" w:rsidR="004C3529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V</w:t>
      </w:r>
      <w:proofErr w:type="gramStart"/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proofErr w:type="gramEnd"/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repetidas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vias.</w:t>
      </w:r>
    </w:p>
    <w:p w14:paraId="41B57F9D" w14:textId="1CE27CC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10.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crônica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carcinogenicidade:</w:t>
      </w:r>
    </w:p>
    <w:p w14:paraId="47683139" w14:textId="0F57803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crônica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ratos;</w:t>
      </w:r>
    </w:p>
    <w:p w14:paraId="0ABD7CFF" w14:textId="7D8919A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carcinogenicidade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ratos;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</w:p>
    <w:p w14:paraId="29682D4D" w14:textId="087EA04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carcinogenicidade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camundongos.</w:t>
      </w:r>
    </w:p>
    <w:p w14:paraId="332F1AA2" w14:textId="157B4FA7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10.1.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crônica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combinados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carcinogenicidade.</w:t>
      </w:r>
    </w:p>
    <w:p w14:paraId="46151CED" w14:textId="6558C3A7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reprodutiva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desenvolvimento:</w:t>
      </w:r>
    </w:p>
    <w:p w14:paraId="1A862064" w14:textId="14EA8741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reprodutiva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duas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reprodutiva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estendida,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ratos;</w:t>
      </w:r>
    </w:p>
    <w:p w14:paraId="2E8EDEC4" w14:textId="748E0730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desenvolvimento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pré-natal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ratos;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</w:p>
    <w:p w14:paraId="13BC5F55" w14:textId="1E50640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desenvolvimento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pré-natal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coelhos.</w:t>
      </w:r>
    </w:p>
    <w:p w14:paraId="75AA1473" w14:textId="0039BCB0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modo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e/ou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mecanismo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ação.</w:t>
      </w:r>
    </w:p>
    <w:p w14:paraId="23721677" w14:textId="4868B540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metabolismo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plantas.</w:t>
      </w:r>
    </w:p>
    <w:p w14:paraId="3C9A10DC" w14:textId="3415FD7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14.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neurotoxicidade:</w:t>
      </w:r>
    </w:p>
    <w:p w14:paraId="04DE99DE" w14:textId="6898F707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roedores,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indícios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aguda;</w:t>
      </w:r>
    </w:p>
    <w:p w14:paraId="6CD22427" w14:textId="1E0DF67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tardia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após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exposição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indícios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aguda;</w:t>
      </w:r>
    </w:p>
    <w:p w14:paraId="4065BC28" w14:textId="78527AD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tardia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repetidas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28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(vinte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oito)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dias,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indícios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tardia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após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exposição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repetidas;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</w:p>
    <w:p w14:paraId="36E9A640" w14:textId="0A60626E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IV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desenvolvimento,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indícios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neurotoxicidade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toxicológicos.</w:t>
      </w:r>
    </w:p>
    <w:p w14:paraId="30B15B75" w14:textId="77777777" w:rsidR="004C3529" w:rsidRDefault="004C352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72536E6B" w14:textId="376D8BB4" w:rsidR="00103539" w:rsidRPr="00103539" w:rsidRDefault="00103539" w:rsidP="004C3529">
      <w:pPr>
        <w:spacing w:after="200" w:line="240" w:lineRule="auto"/>
        <w:jc w:val="center"/>
        <w:rPr>
          <w:rFonts w:ascii="Times New Roman" w:hAnsi="Times New Roman"/>
          <w:cap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ANEXO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II</w:t>
      </w:r>
    </w:p>
    <w:p w14:paraId="05BFE620" w14:textId="0CEA5684" w:rsidR="00103539" w:rsidRPr="00103539" w:rsidRDefault="00103539" w:rsidP="004C3529">
      <w:pPr>
        <w:spacing w:after="200" w:line="240" w:lineRule="auto"/>
        <w:jc w:val="center"/>
        <w:rPr>
          <w:rFonts w:ascii="Times New Roman" w:hAnsi="Times New Roman"/>
          <w:cap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FORMULADOS</w:t>
      </w:r>
    </w:p>
    <w:p w14:paraId="557FDBF1" w14:textId="6D20716E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documentos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seguinte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ordem,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separados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folha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rosto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seção.</w:t>
      </w:r>
    </w:p>
    <w:p w14:paraId="328BC1AD" w14:textId="1030AAC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1.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propriedades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físico-químicas,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aplicáveis.</w:t>
      </w:r>
    </w:p>
    <w:p w14:paraId="77E06329" w14:textId="505EE1A5" w:rsidR="004C3529" w:rsidRDefault="00103539" w:rsidP="004C3529">
      <w:pPr>
        <w:numPr>
          <w:ilvl w:val="0"/>
          <w:numId w:val="6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Aparência,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físico;</w:t>
      </w:r>
    </w:p>
    <w:p w14:paraId="0BC65FCC" w14:textId="432170F1" w:rsidR="004C3529" w:rsidRDefault="00103539" w:rsidP="004C3529">
      <w:pPr>
        <w:numPr>
          <w:ilvl w:val="0"/>
          <w:numId w:val="6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Estabilidade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térmica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ar;</w:t>
      </w:r>
    </w:p>
    <w:p w14:paraId="5B65E5F5" w14:textId="7DC04070" w:rsidR="004C3529" w:rsidRDefault="00103539" w:rsidP="004C3529">
      <w:pPr>
        <w:numPr>
          <w:ilvl w:val="0"/>
          <w:numId w:val="6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Ponto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fulgor;</w:t>
      </w:r>
    </w:p>
    <w:p w14:paraId="01607EAB" w14:textId="7434148F" w:rsidR="004C3529" w:rsidRDefault="00103539" w:rsidP="004C3529">
      <w:pPr>
        <w:numPr>
          <w:ilvl w:val="0"/>
          <w:numId w:val="6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Miscibilidade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água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solventes;</w:t>
      </w:r>
    </w:p>
    <w:p w14:paraId="71CE7E45" w14:textId="429E4A77" w:rsidR="004C3529" w:rsidRDefault="00103539" w:rsidP="004C3529">
      <w:pPr>
        <w:numPr>
          <w:ilvl w:val="0"/>
          <w:numId w:val="6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Potencial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Hidrogeniônico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(pH);</w:t>
      </w:r>
    </w:p>
    <w:p w14:paraId="46277DC6" w14:textId="71950F30" w:rsidR="004C3529" w:rsidRDefault="00103539" w:rsidP="004C3529">
      <w:pPr>
        <w:numPr>
          <w:ilvl w:val="0"/>
          <w:numId w:val="6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Densidade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aparente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específica;</w:t>
      </w:r>
    </w:p>
    <w:p w14:paraId="4A440402" w14:textId="77777777" w:rsidR="004C3529" w:rsidRDefault="00103539" w:rsidP="004C3529">
      <w:pPr>
        <w:numPr>
          <w:ilvl w:val="0"/>
          <w:numId w:val="6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Volatilidade;</w:t>
      </w:r>
    </w:p>
    <w:p w14:paraId="7DEE1BEE" w14:textId="4BF1F15D" w:rsidR="004C3529" w:rsidRDefault="00103539" w:rsidP="004C3529">
      <w:pPr>
        <w:numPr>
          <w:ilvl w:val="0"/>
          <w:numId w:val="6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Distribuição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tamanho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partículas;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</w:p>
    <w:p w14:paraId="066596AA" w14:textId="35CBA0AC" w:rsidR="004C3529" w:rsidRDefault="00103539" w:rsidP="004C3529">
      <w:pPr>
        <w:numPr>
          <w:ilvl w:val="0"/>
          <w:numId w:val="6"/>
        </w:numPr>
        <w:spacing w:after="200" w:line="240" w:lineRule="auto"/>
        <w:ind w:left="0" w:right="120" w:firstLine="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Viscosidade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líquidos.</w:t>
      </w:r>
    </w:p>
    <w:p w14:paraId="7AF4E5C6" w14:textId="77777777" w:rsidR="004C3529" w:rsidRDefault="004C352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17AEB112" w14:textId="6F01A78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2.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toxicológicos</w:t>
      </w:r>
    </w:p>
    <w:p w14:paraId="5D3EC3A2" w14:textId="570CC4A2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(DL50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oral);</w:t>
      </w:r>
    </w:p>
    <w:p w14:paraId="68D80B11" w14:textId="3B1D4ED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(DL50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cutânea);</w:t>
      </w:r>
    </w:p>
    <w:p w14:paraId="1308A421" w14:textId="498461AE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(CL50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inalatória);</w:t>
      </w:r>
    </w:p>
    <w:p w14:paraId="2129C2BE" w14:textId="53DA553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dispensados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apresentação:</w:t>
      </w:r>
    </w:p>
    <w:p w14:paraId="74884D2B" w14:textId="6ACD4AE6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formulação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sólida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contendo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proporção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significante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(&gt;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99%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massa)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partículas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diâmetro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≥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µm;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</w:p>
    <w:p w14:paraId="7517372F" w14:textId="1C51CD8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componentes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predição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confiável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métodos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validados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indiquem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menor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igual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já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analisado.</w:t>
      </w:r>
    </w:p>
    <w:p w14:paraId="4E3B5691" w14:textId="3DC07F5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formulado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exigidos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ausência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componentes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tóxicos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via.</w:t>
      </w:r>
    </w:p>
    <w:p w14:paraId="48AB6DC4" w14:textId="55EF84A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4.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/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aguda.</w:t>
      </w:r>
    </w:p>
    <w:p w14:paraId="73BB3FEA" w14:textId="19988EC3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5.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aguda.</w:t>
      </w:r>
    </w:p>
    <w:p w14:paraId="11A4C822" w14:textId="3A4A700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6.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respiratória.</w:t>
      </w:r>
    </w:p>
    <w:p w14:paraId="64675DF7" w14:textId="6EEE410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:</w:t>
      </w:r>
    </w:p>
    <w:p w14:paraId="3F1C2008" w14:textId="75A01713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bacterianas;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</w:p>
    <w:p w14:paraId="575B9F6C" w14:textId="45C665B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mamíferos.</w:t>
      </w:r>
    </w:p>
    <w:p w14:paraId="5A8F1D80" w14:textId="45DDD56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adicional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investigar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indução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bacterianas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positivo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equívoco.</w:t>
      </w:r>
    </w:p>
    <w:p w14:paraId="245C3C8D" w14:textId="69FF4AE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7.2.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adicional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investigar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cromossômicos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positivo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equívoco.</w:t>
      </w:r>
    </w:p>
    <w:p w14:paraId="4438697E" w14:textId="3142293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7.3.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solicitados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item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negativos.</w:t>
      </w:r>
    </w:p>
    <w:p w14:paraId="575E01C8" w14:textId="5CE891E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7.4.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adicionais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qualquer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usando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positivo,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formulados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potenciais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mutágenos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Entretanto,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demonstrar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mutágeno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mutágeno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germinativas.</w:t>
      </w:r>
    </w:p>
    <w:p w14:paraId="1FB37A35" w14:textId="7833EAC2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Absorção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cutânea.</w:t>
      </w:r>
    </w:p>
    <w:p w14:paraId="2FA0A984" w14:textId="5C6DE59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estimar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absorção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ambos,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formulação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concentrada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maior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diluição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(menor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indicada).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ausência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formulações,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concentrações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diluições,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valores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padrão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absorção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mediante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argumento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justifique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estimativa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absorção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cutânea.</w:t>
      </w:r>
    </w:p>
    <w:p w14:paraId="785E90BE" w14:textId="77777777" w:rsidR="00AF49B1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450677E3" w14:textId="54428CF3" w:rsidR="00103539" w:rsidRPr="00103539" w:rsidRDefault="00103539" w:rsidP="00AF49B1">
      <w:pPr>
        <w:spacing w:after="200" w:line="240" w:lineRule="auto"/>
        <w:jc w:val="center"/>
        <w:rPr>
          <w:rFonts w:ascii="Times New Roman" w:hAnsi="Times New Roman"/>
          <w:cap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ANEXO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III</w:t>
      </w:r>
    </w:p>
    <w:p w14:paraId="7611B7EC" w14:textId="217C3927" w:rsidR="004C3529" w:rsidRDefault="00103539" w:rsidP="00AF49B1">
      <w:pPr>
        <w:spacing w:after="200" w:line="240" w:lineRule="auto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EQUIVALÊNCIA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TÉCNICOS</w:t>
      </w:r>
    </w:p>
    <w:p w14:paraId="600551EC" w14:textId="77777777" w:rsidR="00AF49B1" w:rsidRDefault="00AF49B1" w:rsidP="00AF49B1">
      <w:pPr>
        <w:spacing w:after="200" w:line="240" w:lineRule="auto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</w:pPr>
    </w:p>
    <w:p w14:paraId="571EFA67" w14:textId="1B84E440" w:rsidR="00143412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toxicológicos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bateladas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lotes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cuja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composição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qualitativa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quantitativa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esteja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determinada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níveis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próximos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valores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declarados.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20DE95D9" w14:textId="77777777" w:rsidR="00AF49B1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D56727A" w14:textId="3E89B7B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Fase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II</w:t>
      </w:r>
    </w:p>
    <w:p w14:paraId="4087DC8A" w14:textId="0B406D1A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níveis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incrementados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estrutura-atividade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(QSAR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silico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validados,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abranjam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desfechos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toxicológicos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diferentes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sistemas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especialistas.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5BDF3E81" w14:textId="28237C7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já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disponíveis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níveis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incrementados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abranjam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desfechos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toxicológicos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expliquem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essas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reconhecidamente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baixa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substituição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estrutura-atividade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(QSAR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silico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).</w:t>
      </w:r>
    </w:p>
    <w:p w14:paraId="375EF69F" w14:textId="3F16374C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1.2.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ausência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suficiente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baixa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portanto,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neste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estrutura-atividade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(QSAR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silico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dispensados.</w:t>
      </w:r>
    </w:p>
    <w:p w14:paraId="3A88824F" w14:textId="4E3A4E3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nível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incrementado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declarada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limite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máximo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≥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0,1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&lt;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1%,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seguintes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impureza:</w:t>
      </w:r>
    </w:p>
    <w:p w14:paraId="264FC17F" w14:textId="5AF0F502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bacterianas;</w:t>
      </w:r>
    </w:p>
    <w:p w14:paraId="5882B157" w14:textId="6DAD1F1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</w:p>
    <w:p w14:paraId="7168E722" w14:textId="20FE3A4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mamíferos.</w:t>
      </w:r>
    </w:p>
    <w:p w14:paraId="3350DE3A" w14:textId="2AB3865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já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disponíveis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expliquem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não-relevantes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níveis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incrementados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permanecem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relevantes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substituição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supracitados.</w:t>
      </w:r>
    </w:p>
    <w:p w14:paraId="1BB49D68" w14:textId="696BDE42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nível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incrementado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declarada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limite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máximo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≥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1%,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seguintes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impureza:</w:t>
      </w:r>
    </w:p>
    <w:p w14:paraId="23022A78" w14:textId="5A9EDA2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bacterianas;</w:t>
      </w:r>
    </w:p>
    <w:p w14:paraId="73EFCD31" w14:textId="67C703A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mamíferos;</w:t>
      </w:r>
    </w:p>
    <w:p w14:paraId="0694E0CB" w14:textId="731A5EB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mamíferos;</w:t>
      </w:r>
    </w:p>
    <w:p w14:paraId="00DCD4BB" w14:textId="6CF1D48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IV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somáticas;</w:t>
      </w:r>
    </w:p>
    <w:p w14:paraId="19FB3C93" w14:textId="6338A02E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aguda;</w:t>
      </w:r>
    </w:p>
    <w:p w14:paraId="3C521427" w14:textId="05611F9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ocular;</w:t>
      </w:r>
    </w:p>
    <w:p w14:paraId="25323BA2" w14:textId="1BB9EFF0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</w:p>
    <w:p w14:paraId="69D600F3" w14:textId="54DC2DA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respiratória.</w:t>
      </w:r>
    </w:p>
    <w:p w14:paraId="3B7364AF" w14:textId="46E8238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já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disponíveis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expliquem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não-relevantes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níveis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incrementados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permanecem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relevantes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substituição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supracitados.</w:t>
      </w:r>
    </w:p>
    <w:p w14:paraId="7FFB8D76" w14:textId="77777777" w:rsidR="00AF49B1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C9B9C07" w14:textId="1A2AE710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Considerações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mutagenicidade</w:t>
      </w:r>
      <w:proofErr w:type="spellEnd"/>
    </w:p>
    <w:p w14:paraId="711CCBA8" w14:textId="2EE58F0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potencial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mutagênico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itens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segue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seguinte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abordagem:</w:t>
      </w:r>
    </w:p>
    <w:p w14:paraId="4C63D54E" w14:textId="22F256B3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detectados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respectivamente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bacterianas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mamíferos;</w:t>
      </w:r>
    </w:p>
    <w:p w14:paraId="5DA6B5D6" w14:textId="2097160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adicionais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itens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negativos,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exista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alcançar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causar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alterações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gônadas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germinativas;</w:t>
      </w:r>
    </w:p>
    <w:p w14:paraId="628E2B19" w14:textId="1486835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investigar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indução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qualquer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gênica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positivo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equívoco;</w:t>
      </w:r>
    </w:p>
    <w:p w14:paraId="12E6DA83" w14:textId="3E9BF92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IV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deverá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investigar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indução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cromossômico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item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positivo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equívoco;</w:t>
      </w:r>
    </w:p>
    <w:p w14:paraId="65505B98" w14:textId="7F4FA10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necessário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adicionais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qualquer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vivo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usando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positivo,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formulados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potenciais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mutágenos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Entretanto,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conduzidos</w:t>
      </w:r>
      <w:r w:rsidR="00CC6090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demonstrar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mutágeno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somáticas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EF338E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mutágeno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germinativas;</w:t>
      </w:r>
    </w:p>
    <w:p w14:paraId="02DF0A09" w14:textId="0D761AFC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outros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efeitos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genotóxicos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mutagênicos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também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impurezas.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1562ADBC" w14:textId="77777777" w:rsidR="00A31ED1" w:rsidRDefault="00A31ED1" w:rsidP="004C3529">
      <w:pPr>
        <w:spacing w:after="200" w:line="240" w:lineRule="auto"/>
        <w:ind w:right="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52D1266" w14:textId="62D16027" w:rsidR="004C3529" w:rsidRDefault="00103539" w:rsidP="004C3529">
      <w:pPr>
        <w:spacing w:after="200" w:line="240" w:lineRule="auto"/>
        <w:ind w:right="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3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Considerações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aguda</w:t>
      </w:r>
    </w:p>
    <w:p w14:paraId="10FFA867" w14:textId="24647E7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presença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severo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partir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predição.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cálculo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incremento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realizado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acordo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seguir:</w:t>
      </w:r>
    </w:p>
    <w:p w14:paraId="62A63C74" w14:textId="4927BEFC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Cálculo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RelHazimp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Hazimp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Hazai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).</w:t>
      </w:r>
    </w:p>
    <w:p w14:paraId="1C700B0D" w14:textId="45B64492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RelHazimp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Hazai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/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Hazimp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</w:p>
    <w:p w14:paraId="53AE03F5" w14:textId="3483B6F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RelHazai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</w:t>
      </w:r>
    </w:p>
    <w:p w14:paraId="58EBDBE8" w14:textId="0DE0D56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Cálculo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aumento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teórico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máximo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mistura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ativo/impureza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MTIHaz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proporção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Hazai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mínimo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técnico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aimin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conteúdo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máximo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teórico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impmax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).</w:t>
      </w:r>
    </w:p>
    <w:p w14:paraId="441255C2" w14:textId="115020D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MTIHaz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[(%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aimin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x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RelHazai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+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impmax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x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RelHazimp</w:t>
      </w:r>
      <w:proofErr w:type="spellEnd"/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)]/</w:t>
      </w:r>
      <w:proofErr w:type="gram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aimin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x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RelHazai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</w:p>
    <w:p w14:paraId="1A4BAB75" w14:textId="7FACDBF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Cálculo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nível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máximo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aceitável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concentração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Impmaxaccept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substituição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limite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1,1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(i.e.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+10%)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MTIHaz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Impmaxacceptt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impmax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):</w:t>
      </w:r>
    </w:p>
    <w:p w14:paraId="2D985CEA" w14:textId="2DDD81B6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1,1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[(%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aimin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x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RelHazai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+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Impmaxaccept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x</w:t>
      </w:r>
    </w:p>
    <w:p w14:paraId="4931355B" w14:textId="4228DE07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RelHazimp</w:t>
      </w:r>
      <w:proofErr w:type="spellEnd"/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)]/</w:t>
      </w:r>
      <w:proofErr w:type="gram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aimin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x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RelHazai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</w:p>
    <w:p w14:paraId="203D3475" w14:textId="671548A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rearranjando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):</w:t>
      </w:r>
    </w:p>
    <w:p w14:paraId="75228F26" w14:textId="01A4AD13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Impmaxaccept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[(1,1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x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aimin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x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RelHazai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–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aimin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x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RelHazai</w:t>
      </w:r>
      <w:proofErr w:type="spellEnd"/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)]/</w:t>
      </w:r>
      <w:proofErr w:type="spellStart"/>
      <w:proofErr w:type="gram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RelHazimp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Onde:</w:t>
      </w:r>
    </w:p>
    <w:p w14:paraId="0CBEFD22" w14:textId="1615E416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Hazai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ativo;</w:t>
      </w:r>
    </w:p>
    <w:p w14:paraId="4C48B730" w14:textId="03711B2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Hazimp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impureza;</w:t>
      </w:r>
    </w:p>
    <w:p w14:paraId="08EBEA7E" w14:textId="6DCC472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RelHazimp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razão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entre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</w:t>
      </w:r>
    </w:p>
    <w:p w14:paraId="10F71863" w14:textId="67261E5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RelHazai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razão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ativo(</w:t>
      </w:r>
      <w:proofErr w:type="gram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=1);</w:t>
      </w:r>
    </w:p>
    <w:p w14:paraId="30CFF139" w14:textId="0587915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aimin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limite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mínimo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ingrediente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ativo;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%</w:t>
      </w:r>
      <w:proofErr w:type="spellStart"/>
      <w:proofErr w:type="gram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impmax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limite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máximo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teórico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MTIHaz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aumento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máximo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teórico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%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impmaxaccept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=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máximo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aceitável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impureza.</w:t>
      </w:r>
    </w:p>
    <w:p w14:paraId="0BA161E6" w14:textId="3909F10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ausência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mg/kg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p.c.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assumido;</w:t>
      </w:r>
    </w:p>
    <w:p w14:paraId="16931A82" w14:textId="6E1B28F7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cálculos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acima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MTIHaz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menor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10%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não-relevante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deve-se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necessidade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solicitação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aguda.</w:t>
      </w:r>
    </w:p>
    <w:p w14:paraId="729B5ABA" w14:textId="77777777" w:rsidR="004C3529" w:rsidRDefault="004C352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5BC527DE" w14:textId="431391A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4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Considerações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ocular</w:t>
      </w:r>
    </w:p>
    <w:p w14:paraId="6852B353" w14:textId="7B20586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solicitados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e/ou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sempre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indícios,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estrutura-atividade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(QSAR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silico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)ou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informação,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possa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corrosiva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olhos.</w:t>
      </w:r>
    </w:p>
    <w:p w14:paraId="6A3C58EE" w14:textId="27E5DBF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seja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apenas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irritante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solicitado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maior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3%.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impureza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esteja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ambas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tenham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indícios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e/ou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estrutura-atividade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(QSAR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silico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informação,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solicitado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seus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teores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sejam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maiores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iguais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5%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(cinco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cento).</w:t>
      </w:r>
    </w:p>
    <w:p w14:paraId="2EE8FCDE" w14:textId="3D60D10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referência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já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corrosivo/irritante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ocular.</w:t>
      </w:r>
    </w:p>
    <w:p w14:paraId="41630815" w14:textId="32F7F9B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5-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Fase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III</w:t>
      </w:r>
    </w:p>
    <w:p w14:paraId="4F58DFF6" w14:textId="6FFF4C50" w:rsidR="00143412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toxicológicos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requeridos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avaliação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equivalência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III,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previsto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item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16.8,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Anexo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II,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Decreto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nº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4.074/2002,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definidos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relação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estrutura-atividade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(QSAR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</w:t>
      </w:r>
      <w:r w:rsidR="00AF49B1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silico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toxicológico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disponível.</w:t>
      </w:r>
    </w:p>
    <w:p w14:paraId="301F8376" w14:textId="77777777" w:rsidR="00A31ED1" w:rsidRDefault="00A31ED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5BE344BD" w14:textId="70490925" w:rsidR="00103539" w:rsidRPr="00103539" w:rsidRDefault="00103539" w:rsidP="00A31ED1">
      <w:pPr>
        <w:spacing w:after="200" w:line="240" w:lineRule="auto"/>
        <w:jc w:val="center"/>
        <w:rPr>
          <w:rFonts w:ascii="Times New Roman" w:hAnsi="Times New Roman"/>
          <w:cap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ANEXO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IV</w:t>
      </w:r>
    </w:p>
    <w:p w14:paraId="12BC7CF3" w14:textId="7D83FB7B" w:rsidR="004C3529" w:rsidRDefault="00103539" w:rsidP="00A31ED1">
      <w:pPr>
        <w:spacing w:after="200" w:line="240" w:lineRule="auto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TOXICOLÓGICA</w:t>
      </w:r>
    </w:p>
    <w:p w14:paraId="316BFCBF" w14:textId="77777777" w:rsidR="00A31ED1" w:rsidRDefault="00A31ED1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C67C691" w14:textId="1D03AF62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(DL50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oral),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(DL50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cutânea)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(CL50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inalatória)</w:t>
      </w:r>
    </w:p>
    <w:p w14:paraId="566C4A67" w14:textId="2EF8CB56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assim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nomes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rótulo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bula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dispostos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</w:p>
    <w:p w14:paraId="59CFDD8A" w14:textId="2E21872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valores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dispostos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referem-se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valores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aproximados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obtidos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realizados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classificado.</w:t>
      </w:r>
    </w:p>
    <w:p w14:paraId="441D1531" w14:textId="77777777" w:rsidR="00AF4E9B" w:rsidRDefault="00AF4E9B">
      <w:pP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br w:type="page"/>
      </w:r>
    </w:p>
    <w:p w14:paraId="05AD9697" w14:textId="77777777" w:rsidR="00AF4E9B" w:rsidRDefault="00AF4E9B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sectPr w:rsidR="00AF4E9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48643A" w14:textId="48231A1D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aguda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oral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(DL50),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(DL50)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(CL50)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1374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1833"/>
        <w:gridCol w:w="1700"/>
        <w:gridCol w:w="1395"/>
        <w:gridCol w:w="1684"/>
        <w:gridCol w:w="1681"/>
        <w:gridCol w:w="1810"/>
        <w:gridCol w:w="1826"/>
      </w:tblGrid>
      <w:tr w:rsidR="00AF4E9B" w:rsidRPr="00103539" w14:paraId="45800E6D" w14:textId="77777777" w:rsidTr="004144CC">
        <w:trPr>
          <w:tblCellSpacing w:w="0" w:type="dxa"/>
          <w:jc w:val="center"/>
        </w:trPr>
        <w:tc>
          <w:tcPr>
            <w:tcW w:w="36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9C5CE" w14:textId="7FB518A6" w:rsidR="00103539" w:rsidRPr="00103539" w:rsidRDefault="00103539" w:rsidP="004144CC">
            <w:pPr>
              <w:spacing w:after="20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6DA3" w14:textId="617F89D2" w:rsidR="00103539" w:rsidRPr="00103539" w:rsidRDefault="00103539" w:rsidP="004144CC">
            <w:pPr>
              <w:spacing w:after="20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90585" w14:textId="74D71E51" w:rsidR="00103539" w:rsidRPr="00103539" w:rsidRDefault="00103539" w:rsidP="004144CC">
            <w:pPr>
              <w:spacing w:after="20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58A2C" w14:textId="7BB3123E" w:rsidR="00103539" w:rsidRPr="00103539" w:rsidRDefault="00103539" w:rsidP="004144CC">
            <w:pPr>
              <w:spacing w:after="20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27F11" w14:textId="1FCFC871" w:rsidR="00103539" w:rsidRPr="00103539" w:rsidRDefault="00103539" w:rsidP="004144CC">
            <w:pPr>
              <w:spacing w:after="20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19B26" w14:textId="01494A88" w:rsidR="00103539" w:rsidRPr="00103539" w:rsidRDefault="00103539" w:rsidP="004144CC">
            <w:pPr>
              <w:spacing w:after="20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D0E8" w14:textId="73BCEEB6" w:rsidR="00103539" w:rsidRPr="00103539" w:rsidRDefault="00103539" w:rsidP="004144CC">
            <w:pPr>
              <w:spacing w:after="200" w:line="240" w:lineRule="auto"/>
              <w:ind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classificado</w:t>
            </w:r>
          </w:p>
        </w:tc>
      </w:tr>
      <w:tr w:rsidR="004144CC" w:rsidRPr="00103539" w14:paraId="08DC7A5E" w14:textId="77777777" w:rsidTr="004144CC">
        <w:trPr>
          <w:tblCellSpacing w:w="0" w:type="dxa"/>
          <w:jc w:val="center"/>
        </w:trPr>
        <w:tc>
          <w:tcPr>
            <w:tcW w:w="36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643A3" w14:textId="321EBBDF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AD46F" w14:textId="5BED8EA0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Extremamente</w:t>
            </w:r>
            <w:r w:rsidR="004144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Tóxico</w:t>
            </w:r>
            <w:proofErr w:type="gramEnd"/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DE47" w14:textId="1D5542C4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Altamente</w:t>
            </w:r>
            <w:r w:rsidR="004144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Tóxico</w:t>
            </w:r>
            <w:proofErr w:type="gramEnd"/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CCA1" w14:textId="13FF7F18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Medianamente</w:t>
            </w:r>
            <w:r w:rsidR="004144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tóxico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EF92E" w14:textId="65966CBB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Pouco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tóxico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A387F" w14:textId="601A33D9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4C8A12BC" w14:textId="103D6D46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Improvável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4144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Causar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Dano</w:t>
            </w:r>
            <w:r w:rsidR="004144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Agudo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A62A" w14:textId="6706E9CC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classificado</w:t>
            </w:r>
          </w:p>
        </w:tc>
      </w:tr>
      <w:tr w:rsidR="004144CC" w:rsidRPr="00103539" w14:paraId="2EC1C4C9" w14:textId="77777777" w:rsidTr="004144CC">
        <w:trPr>
          <w:tblCellSpacing w:w="0" w:type="dxa"/>
          <w:jc w:val="center"/>
        </w:trPr>
        <w:tc>
          <w:tcPr>
            <w:tcW w:w="36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F2B36" w14:textId="142295D7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Via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Oral</w:t>
            </w:r>
          </w:p>
          <w:p w14:paraId="31397FE6" w14:textId="2B7AF3E4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(mg/kg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p.c.)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C66C3" w14:textId="684403DD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≤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EFE6" w14:textId="1455350A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&gt;5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63912" w14:textId="23E08EDC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&gt;50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–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864AC" w14:textId="78D559AC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&gt;300-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ADB26" w14:textId="2BDE0DD4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&gt;2000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5000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61148" w14:textId="00C538B0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5000</w:t>
            </w:r>
          </w:p>
        </w:tc>
      </w:tr>
      <w:tr w:rsidR="004144CC" w:rsidRPr="00103539" w14:paraId="431A97B2" w14:textId="77777777" w:rsidTr="004144CC">
        <w:trPr>
          <w:tblCellSpacing w:w="0" w:type="dxa"/>
          <w:jc w:val="center"/>
        </w:trPr>
        <w:tc>
          <w:tcPr>
            <w:tcW w:w="36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70D63" w14:textId="67C3AD62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Via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Cutânea</w:t>
            </w:r>
          </w:p>
          <w:p w14:paraId="55B97BE9" w14:textId="291C7408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(mg/</w:t>
            </w:r>
            <w:proofErr w:type="gram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kg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p.c.</w:t>
            </w:r>
            <w:proofErr w:type="gramEnd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7788" w14:textId="5829C207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≤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D66BD" w14:textId="4B7773F4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&gt;50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1B55" w14:textId="0F0EF267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&gt;200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447F9" w14:textId="0BDF1319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&gt;1000-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9E8DD" w14:textId="126DE687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&gt;2000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5000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70BBF" w14:textId="101DD97F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5000</w:t>
            </w:r>
          </w:p>
        </w:tc>
      </w:tr>
      <w:tr w:rsidR="004144CC" w:rsidRPr="00103539" w14:paraId="6DBF6A5E" w14:textId="77777777" w:rsidTr="004144CC">
        <w:trPr>
          <w:tblCellSpacing w:w="0" w:type="dxa"/>
          <w:jc w:val="center"/>
        </w:trPr>
        <w:tc>
          <w:tcPr>
            <w:tcW w:w="18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8218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2993669F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1C27CBFA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03773054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14A0094C" w14:textId="3050C1DB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Via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Inalatória</w:t>
            </w: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176FC" w14:textId="642DA8AA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Gases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ppm</w:t>
            </w:r>
            <w:proofErr w:type="spellEnd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/V)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E7B3D" w14:textId="46AC5F31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≤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96E6" w14:textId="5DCCC80B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&gt;100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BB0D3" w14:textId="142347C2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&gt;500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B5C20" w14:textId="28849753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29EA30C9" w14:textId="01AE0753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&gt;2500-20000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E5DEC" w14:textId="0C5BA929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7745E479" w14:textId="3375519B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&gt;20000-50000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AE992" w14:textId="36C86B43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144CC" w:rsidRPr="00103539" w14:paraId="702D7D40" w14:textId="77777777" w:rsidTr="004144CC">
        <w:trPr>
          <w:tblCellSpacing w:w="0" w:type="dxa"/>
          <w:jc w:val="center"/>
        </w:trPr>
        <w:tc>
          <w:tcPr>
            <w:tcW w:w="183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07A4D" w14:textId="77777777" w:rsidR="00103539" w:rsidRPr="00103539" w:rsidRDefault="00103539" w:rsidP="004144CC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50717" w14:textId="77777777" w:rsidR="004C352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Vapores</w:t>
            </w:r>
          </w:p>
          <w:p w14:paraId="5E067F1F" w14:textId="41C7AA44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(mg/L)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7B7D5" w14:textId="41A4A948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≤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C4333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59E9F994" w14:textId="64FF0506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0,5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≤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2,0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3C2F4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497EF4CE" w14:textId="2670972A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&gt;2,0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≤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681B6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70D7076A" w14:textId="4863F3E2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≤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59B9C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4E99833A" w14:textId="3D9005D6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20-50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C322B" w14:textId="593CA953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144CC" w:rsidRPr="00103539" w14:paraId="6560E46E" w14:textId="77777777" w:rsidTr="004144CC">
        <w:trPr>
          <w:tblCellSpacing w:w="0" w:type="dxa"/>
          <w:jc w:val="center"/>
        </w:trPr>
        <w:tc>
          <w:tcPr>
            <w:tcW w:w="183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AF42B" w14:textId="77777777" w:rsidR="00103539" w:rsidRPr="00103539" w:rsidRDefault="00103539" w:rsidP="004144CC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C919" w14:textId="0738B30B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286095C1" w14:textId="71DF81C7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Produtos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sólidos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líquidos</w:t>
            </w:r>
          </w:p>
          <w:p w14:paraId="1C5DE681" w14:textId="253950F7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(mg/L)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3FEB" w14:textId="22E3CE6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6D768B1B" w14:textId="18720183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≤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0,05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B1EDA" w14:textId="68B0CBFD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21A4FBD7" w14:textId="618E9B19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&gt;0,05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3DEAB" w14:textId="36E10764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237C08CD" w14:textId="71E56416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&gt;0,5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22164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0F790391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00DB8C26" w14:textId="083D9B41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&gt;1,0-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5,0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2DEDF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0558AFD8" w14:textId="77777777" w:rsidR="004C3529" w:rsidRDefault="004C352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3B76BD35" w14:textId="3E79B872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&gt;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5,0-12,5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579DD" w14:textId="5EA5D138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66858682" w14:textId="60D351F4" w:rsidR="00143412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3E89605E" w14:textId="77777777" w:rsidR="00AF4E9B" w:rsidRDefault="00AF4E9B">
      <w:pPr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br w:type="page"/>
      </w:r>
    </w:p>
    <w:p w14:paraId="18A2350D" w14:textId="77777777" w:rsidR="00AF4E9B" w:rsidRDefault="00AF4E9B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  <w:sectPr w:rsidR="00AF4E9B" w:rsidSect="00AF4E9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4726F46" w14:textId="3742CC3E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1.3.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limites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concentração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baseiam-se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exposições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ensaio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4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(quatro)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horas.</w:t>
      </w:r>
    </w:p>
    <w:p w14:paraId="16FC2F06" w14:textId="43E40200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1.4.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</w:t>
      </w:r>
      <w:r w:rsidRPr="00103539">
        <w:rPr>
          <w:rFonts w:ascii="Times New Roman" w:hAnsi="Times New Roman"/>
          <w:color w:val="000000"/>
          <w:sz w:val="24"/>
          <w:szCs w:val="24"/>
          <w:vertAlign w:val="subscript"/>
          <w:lang w:eastAsia="pt-BR"/>
        </w:rPr>
        <w:t>50</w:t>
      </w:r>
      <w:r w:rsidR="00AF49B1">
        <w:rPr>
          <w:rFonts w:ascii="Times New Roman" w:hAnsi="Times New Roman"/>
          <w:color w:val="000000"/>
          <w:sz w:val="24"/>
          <w:szCs w:val="24"/>
          <w:vertAlign w:val="subscript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conduzido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protocolos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vigentes,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usado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fins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observada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mortalidade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longo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entanto,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essa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informação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utilizada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comunicação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1B817D83" w14:textId="572577E6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1.5.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5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:</w:t>
      </w:r>
      <w:proofErr w:type="gramEnd"/>
    </w:p>
    <w:p w14:paraId="4037814E" w14:textId="4E23AC5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enquadramento,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meio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valores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50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CL50,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maior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possível;</w:t>
      </w:r>
    </w:p>
    <w:p w14:paraId="07CCC8BD" w14:textId="7FFD3F9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b.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informações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confiáveis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disponíveis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indicam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efeitos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tóxicos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significantes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humanos;</w:t>
      </w:r>
    </w:p>
    <w:p w14:paraId="17E24E7D" w14:textId="1A6210B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nenhuma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mortalidade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observada,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valores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4,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oral,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inalatória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cutânea;</w:t>
      </w:r>
    </w:p>
    <w:p w14:paraId="4D025BE3" w14:textId="7407559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existem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sinais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clínicos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até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4,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exceto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diarreia,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piloereção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aparência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descuidada;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</w:p>
    <w:p w14:paraId="5AD88A9F" w14:textId="381B8EE0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existem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confiáveis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potencial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efeitos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agudos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significantes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outros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animais.</w:t>
      </w:r>
    </w:p>
    <w:p w14:paraId="1E776DDA" w14:textId="1895481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1.6.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será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proofErr w:type="gram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apresentar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nenhum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critérios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definidos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item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1.5.</w:t>
      </w:r>
    </w:p>
    <w:p w14:paraId="322F2DE8" w14:textId="03634853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órgão-alvo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específico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exposição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única</w:t>
      </w:r>
    </w:p>
    <w:p w14:paraId="6BBA100D" w14:textId="2BCA7CB5" w:rsidR="004C3529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2.1.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órgão-alvo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1,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3,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estabelecido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103539" w:rsidRPr="00103539">
        <w:rPr>
          <w:rFonts w:ascii="Times New Roman" w:hAnsi="Times New Roman"/>
          <w:color w:val="000000"/>
          <w:sz w:val="24"/>
          <w:szCs w:val="24"/>
          <w:lang w:eastAsia="pt-BR"/>
        </w:rPr>
        <w:t>2.</w:t>
      </w:r>
    </w:p>
    <w:p w14:paraId="28E1DAC0" w14:textId="04F60C3E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–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órgão-alvo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específico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exposição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única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10065" w:type="dxa"/>
        <w:tblCellSpacing w:w="0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8564"/>
      </w:tblGrid>
      <w:tr w:rsidR="00103539" w:rsidRPr="00103539" w14:paraId="2496D786" w14:textId="77777777" w:rsidTr="004144CC">
        <w:trPr>
          <w:tblCellSpacing w:w="0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CD77" w14:textId="7ED1F87F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Categorias</w:t>
            </w:r>
          </w:p>
        </w:tc>
        <w:tc>
          <w:tcPr>
            <w:tcW w:w="8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446A4" w14:textId="58370C8F" w:rsidR="00103539" w:rsidRPr="00103539" w:rsidRDefault="00103539" w:rsidP="004144CC">
            <w:pPr>
              <w:spacing w:after="200" w:line="240" w:lineRule="auto"/>
              <w:ind w:right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Critérios</w:t>
            </w:r>
          </w:p>
        </w:tc>
      </w:tr>
      <w:tr w:rsidR="00103539" w:rsidRPr="00103539" w14:paraId="13355DAB" w14:textId="77777777" w:rsidTr="004144CC">
        <w:trPr>
          <w:trHeight w:val="2130"/>
          <w:tblCellSpacing w:w="0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6F045" w14:textId="07DE271C" w:rsidR="00103539" w:rsidRPr="00103539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8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5B2C0" w14:textId="72126E37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produz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toxicidade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significante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base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evidências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experimentais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possa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presumir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produzir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toxicidade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significante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seguido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única.</w:t>
            </w:r>
          </w:p>
          <w:p w14:paraId="6F2730EC" w14:textId="588BC32C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310812CF" w14:textId="4D7C5027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confiáveis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qualidade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epidemiológicos;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1F1C13EE" w14:textId="6A16C12A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apropriados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tóxicos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significantes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severos,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relevância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saúde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humana,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produzidos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concentrações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baixa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exposição.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64F85475" w14:textId="77777777" w:rsidTr="004144CC">
        <w:trPr>
          <w:tblCellSpacing w:w="0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71230" w14:textId="5B33AFF4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8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919A1" w14:textId="12652046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base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evidências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oriundas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experimentais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possa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presumir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produzir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dano</w:t>
            </w:r>
            <w:proofErr w:type="spellEnd"/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à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saúde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seguido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única.</w:t>
            </w:r>
          </w:p>
          <w:p w14:paraId="7AB8D1B6" w14:textId="6ECE2F85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apropriados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tóxicos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relevância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saúde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humana,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produzidas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concentrações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moderada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exposição.</w:t>
            </w:r>
          </w:p>
          <w:p w14:paraId="5EE3D1E6" w14:textId="03F0F467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excepcionais,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podem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também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utilizadas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nesta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Categoria.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790C848A" w14:textId="77777777" w:rsidTr="004144CC">
        <w:trPr>
          <w:trHeight w:val="1425"/>
          <w:tblCellSpacing w:w="0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45547" w14:textId="29DE0FD5" w:rsidR="00143412" w:rsidRDefault="00AF49B1" w:rsidP="004C3529">
            <w:pPr>
              <w:spacing w:after="20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77D9E9EC" w14:textId="1C0187B3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  <w:p w14:paraId="459B7C39" w14:textId="2CA85A43" w:rsidR="00103539" w:rsidRPr="00103539" w:rsidRDefault="00AF49B1" w:rsidP="004C3529">
            <w:pPr>
              <w:spacing w:after="20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8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FC9D8" w14:textId="4B9C0FDF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curta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duração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órgão-alvo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especifico</w:t>
            </w:r>
            <w:proofErr w:type="gramEnd"/>
          </w:p>
          <w:p w14:paraId="14681C25" w14:textId="7953026D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Existem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órgãos-alvos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atender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critério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categorias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indicadas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acima.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adversamente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alteram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função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curta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duração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depois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podem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recuperar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período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razoável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levar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alteração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significante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estrutura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função.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somente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inclui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narcóticos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irritação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trato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respiratório.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26ED83" w14:textId="77777777" w:rsidR="004144CC" w:rsidRDefault="004144CC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7BD9528A" w14:textId="63CD89A8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essas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órgão/sistema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alvo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primariamente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afetado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substância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substância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toxicante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geral.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Sempre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identificado,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órgão-alvo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classificação.</w:t>
      </w:r>
    </w:p>
    <w:p w14:paraId="16B7AA88" w14:textId="77777777" w:rsidR="004C3529" w:rsidRDefault="004C352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1B3343BB" w14:textId="03FA515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3-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órgão-alvo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específico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exposição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repetida</w:t>
      </w:r>
    </w:p>
    <w:p w14:paraId="506E2FA4" w14:textId="56949DE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órgão-alvo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estabelecido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</w:t>
      </w:r>
    </w:p>
    <w:p w14:paraId="5F922689" w14:textId="5F96174C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3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–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órgão-alvo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específico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por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exposição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repetida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9498" w:type="dxa"/>
        <w:tblCellSpacing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7896"/>
      </w:tblGrid>
      <w:tr w:rsidR="00103539" w:rsidRPr="00103539" w14:paraId="7F35510E" w14:textId="77777777" w:rsidTr="004144CC">
        <w:trPr>
          <w:tblCellSpacing w:w="0" w:type="dxa"/>
        </w:trPr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D2C64" w14:textId="580967DB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7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CAAE8" w14:textId="170D1293" w:rsidR="00103539" w:rsidRPr="00103539" w:rsidRDefault="00103539" w:rsidP="004144CC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Critérios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3539" w:rsidRPr="00103539" w14:paraId="7D939398" w14:textId="77777777" w:rsidTr="004144CC">
        <w:trPr>
          <w:tblCellSpacing w:w="0" w:type="dxa"/>
        </w:trPr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90EE" w14:textId="1D395B5C" w:rsidR="00103539" w:rsidRPr="00103539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7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71D07" w14:textId="48EF9F75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produz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toxicidade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significativa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base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evidências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oriundas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experimentais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possa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presumir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produzir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toxicidade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significante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seguido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repetida.</w:t>
            </w:r>
          </w:p>
          <w:p w14:paraId="45B366AC" w14:textId="6AF99797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00FA1D4A" w14:textId="76D218AC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confiáveis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qualidade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epidemiológicos;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33707DB7" w14:textId="55825388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apropriados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tóxicos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significantes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severos,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relevância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saúde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humana,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produzidos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concentrações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baixa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exposição.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6BCA8846" w14:textId="77777777" w:rsidTr="004144CC">
        <w:trPr>
          <w:tblCellSpacing w:w="0" w:type="dxa"/>
        </w:trPr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21E50" w14:textId="4E245003" w:rsidR="00103539" w:rsidRPr="00103539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 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7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2321D" w14:textId="13AF2189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base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evidências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oriundas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experimentais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possa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presumir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produzir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dano</w:t>
            </w:r>
            <w:proofErr w:type="spellEnd"/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à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saúde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seguido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repetida.</w:t>
            </w:r>
          </w:p>
          <w:p w14:paraId="5CD5CA61" w14:textId="2BEEFBD0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apropriados,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tóxicos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significantes,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relevância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saúde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humana,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produzidas</w:t>
            </w:r>
            <w:proofErr w:type="gram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concentrações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moderada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exposição.</w:t>
            </w:r>
          </w:p>
          <w:p w14:paraId="40392844" w14:textId="22DE2297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excepcionais,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quando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suficientes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garantir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natureza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severidade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podem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utilizadas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enquadramento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categoria.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DAE1E2" w14:textId="75E0A268" w:rsidR="00103539" w:rsidRPr="00103539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7C310CA8" w14:textId="52DD73B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essas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órgão/sistema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alvo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foi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primariamente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afetado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substância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substância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um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toxicante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geral.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Sempre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identificado,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órgão-alvo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específico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classificação.</w:t>
      </w:r>
    </w:p>
    <w:p w14:paraId="74BB35A8" w14:textId="21BB8456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4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mutagenicidade</w:t>
      </w:r>
      <w:proofErr w:type="spellEnd"/>
    </w:p>
    <w:p w14:paraId="635CCB72" w14:textId="6DC21C7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4.1.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1B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estabelecido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4.</w:t>
      </w:r>
    </w:p>
    <w:p w14:paraId="5A49D040" w14:textId="03F2B8D0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4.2.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1B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1A354ED1" w14:textId="1CAFB005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4.3.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mostram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efeitos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genotóxicos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mutagênicos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células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germinativas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também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podem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1B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mutagenicidade</w:t>
      </w:r>
      <w:proofErr w:type="spellEnd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</w:p>
    <w:p w14:paraId="509747F8" w14:textId="77777777" w:rsidR="004144CC" w:rsidRDefault="004144CC">
      <w:pP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br w:type="page"/>
      </w:r>
    </w:p>
    <w:p w14:paraId="593D9ACE" w14:textId="75C63976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4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–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mutagenicidade</w:t>
      </w:r>
      <w:proofErr w:type="spellEnd"/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863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6569"/>
      </w:tblGrid>
      <w:tr w:rsidR="00103539" w:rsidRPr="00103539" w14:paraId="1E440A09" w14:textId="77777777" w:rsidTr="004144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8AA74" w14:textId="0A978D5F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E0E8" w14:textId="3D58A304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Critérios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3539" w:rsidRPr="00103539" w14:paraId="0A5B02C1" w14:textId="77777777" w:rsidTr="004144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1C85F" w14:textId="621B700B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3AA09" w14:textId="13720DD4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conhecido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induzir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mutações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germinativas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humanos.</w:t>
            </w:r>
          </w:p>
          <w:p w14:paraId="7FFC3A71" w14:textId="77023D67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partir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epidemiológicos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41E0DE8D" w14:textId="77777777" w:rsidTr="004144CC">
        <w:trPr>
          <w:trHeight w:val="27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69C6" w14:textId="493BFC03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1B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C4A2" w14:textId="319469B7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presumidamente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induz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mutações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germinativas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humanos.</w:t>
            </w:r>
          </w:p>
          <w:p w14:paraId="2748654F" w14:textId="440C2642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3FA16161" w14:textId="72A13CB8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mostram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mutagênicos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germinativas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demonstração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transmissão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à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progênie;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5256CB8C" w14:textId="5914B157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mutagenicidade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vivo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germinativas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mamíferos;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0273DEDF" w14:textId="35F04A7E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mutagenicidade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vivo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somáticas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mamíferos,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combinação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substância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causar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germinativas;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2DE4E98F" w14:textId="281EFAB5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mutagenicidade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vivo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somáticas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mamíferos,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ausência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mutagenicidade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vivo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germinativas.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3A774FE7" w14:textId="77777777" w:rsidTr="004144CC">
        <w:trPr>
          <w:trHeight w:val="252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6ABA0" w14:textId="3F545661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85DB" w14:textId="1C9EE281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mostra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indicação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causar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genotóxicos</w:t>
            </w:r>
            <w:proofErr w:type="spellEnd"/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,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mas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causar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mutagenicidade</w:t>
            </w:r>
            <w:proofErr w:type="spellEnd"/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germinativas.</w:t>
            </w:r>
          </w:p>
          <w:p w14:paraId="651D6DFF" w14:textId="5FE9C1F2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1FB57290" w14:textId="3F25FB14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mutagenicidade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vivo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somáticas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mamíferos,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combinação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negativos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mutagenicidade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germinativas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vivo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762845AD" w14:textId="00183999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genotoxicidade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mutagênicos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vivo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somáticas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suportados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mutagenicidade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vitro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0205FAE8" w14:textId="72A198E2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in</w:t>
            </w:r>
            <w:r w:rsidR="00AF49B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vitro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mutagenicidade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mamíferos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combinação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relação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estrutura-atividade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substância-teste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mutágenos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conhecidos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células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germinativas.</w:t>
            </w:r>
          </w:p>
        </w:tc>
      </w:tr>
    </w:tbl>
    <w:p w14:paraId="0E411E8D" w14:textId="23A79D0E" w:rsidR="00103539" w:rsidRPr="00103539" w:rsidRDefault="00AF49B1" w:rsidP="004C3529">
      <w:pPr>
        <w:spacing w:after="20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 xml:space="preserve"> </w:t>
      </w:r>
    </w:p>
    <w:p w14:paraId="72997C8B" w14:textId="306D3FF3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5-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carcinogenicidade</w:t>
      </w:r>
    </w:p>
    <w:p w14:paraId="0E9B790E" w14:textId="105F014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5.1.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carcinogenicidade,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1B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estabelecido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5.</w:t>
      </w:r>
    </w:p>
    <w:p w14:paraId="0AA024F7" w14:textId="53246E8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5.2.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1B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carcinogenicidade.</w:t>
      </w:r>
    </w:p>
    <w:p w14:paraId="211A320E" w14:textId="0FE921F6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5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–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carcinogenicidade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863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6520"/>
      </w:tblGrid>
      <w:tr w:rsidR="00103539" w:rsidRPr="00103539" w14:paraId="6BBBF5CA" w14:textId="77777777" w:rsidTr="004144CC">
        <w:trPr>
          <w:tblCellSpacing w:w="0" w:type="dxa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F1909" w14:textId="6E898790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13FF" w14:textId="0351BCCC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Descrições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Critérios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3539" w:rsidRPr="00103539" w14:paraId="5AAB7D61" w14:textId="77777777" w:rsidTr="004144CC">
        <w:trPr>
          <w:tblCellSpacing w:w="0" w:type="dxa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127F1" w14:textId="3088AB5F" w:rsidR="00103539" w:rsidRPr="00103539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5DFB2" w14:textId="526DDCF8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conhecido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apresentar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carcinogênico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humanos.</w:t>
            </w:r>
          </w:p>
          <w:p w14:paraId="28B2491C" w14:textId="361577DA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suficiente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carcinogenicidade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estabelecem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relação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causal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entre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aparecimento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câncer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4965B119" w14:textId="77777777" w:rsidTr="004144CC">
        <w:trPr>
          <w:tblCellSpacing w:w="0" w:type="dxa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5D3A4" w14:textId="6D9F60EF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1B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B637" w14:textId="041AEDB7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presumidamente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possui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carcinogênico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humanos.</w:t>
            </w:r>
          </w:p>
          <w:p w14:paraId="14712B5C" w14:textId="52254C80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1E268A8F" w14:textId="434EE232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limitada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carcinogenicidade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suficiente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carcinogenicidade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75575955" w14:textId="6F7078F5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suficiente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carcinogenicidade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carcinogenicidade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330B0904" w14:textId="787C0C4B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limitada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carcinogenicidade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juntamente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limitada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carcinogenicidade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avaliados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julgamento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científico.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34152D81" w14:textId="77777777" w:rsidTr="004144CC">
        <w:trPr>
          <w:trHeight w:val="1095"/>
          <w:tblCellSpacing w:w="0" w:type="dxa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7F355" w14:textId="196D45EC" w:rsidR="00103539" w:rsidRPr="00103539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   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C49E3" w14:textId="58563334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suspeito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carcinogênico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humanos.</w:t>
            </w:r>
          </w:p>
          <w:p w14:paraId="6A575999" w14:textId="3105EB40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limitada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limitada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quando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suficientes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avaliados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julgamento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científico.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7F8F6C" w14:textId="792A4820" w:rsidR="00103539" w:rsidRPr="00103539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50388CF2" w14:textId="426BD06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6-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reprodutiva</w:t>
      </w:r>
    </w:p>
    <w:p w14:paraId="4D6848DE" w14:textId="25DAA60F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6.1.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reprodutiva,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1B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critérios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6.</w:t>
      </w:r>
    </w:p>
    <w:p w14:paraId="5B91B228" w14:textId="22FD25E8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6–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reprodutiva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863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6646"/>
      </w:tblGrid>
      <w:tr w:rsidR="00103539" w:rsidRPr="00103539" w14:paraId="314C1249" w14:textId="77777777" w:rsidTr="004144CC">
        <w:trPr>
          <w:tblCellSpacing w:w="0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C9878" w14:textId="50B28FCE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24209" w14:textId="082C294C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Descrições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Critérios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3539" w:rsidRPr="00103539" w14:paraId="45337E95" w14:textId="77777777" w:rsidTr="004144CC">
        <w:trPr>
          <w:trHeight w:val="1710"/>
          <w:tblCellSpacing w:w="0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64B24" w14:textId="2253E7DB" w:rsidR="00103539" w:rsidRPr="00103539" w:rsidRDefault="00AF49B1" w:rsidP="004C3529">
            <w:pPr>
              <w:spacing w:after="20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4D339E12" w14:textId="7D89BADD" w:rsidR="00143412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1A</w:t>
            </w:r>
          </w:p>
          <w:p w14:paraId="123E3876" w14:textId="5AC92623" w:rsidR="00103539" w:rsidRPr="00103539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F8345" w14:textId="44F127E9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conhecido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apresentar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toxicidade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reprodutiva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humanos.</w:t>
            </w:r>
          </w:p>
          <w:p w14:paraId="017178B0" w14:textId="34A40C70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causa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adverso:</w:t>
            </w:r>
          </w:p>
          <w:p w14:paraId="6E648ED1" w14:textId="74B56F0A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fisiologia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reprodutiva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35D84749" w14:textId="61062441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sobre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desenvolvimento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embriofetal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neonatal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13E1D808" w14:textId="77777777" w:rsidTr="004144CC">
        <w:trPr>
          <w:tblCellSpacing w:w="0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BE368" w14:textId="60E97E61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1B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FFF5A" w14:textId="0025B4E8" w:rsidR="00103539" w:rsidRPr="00103539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7C924F2A" w14:textId="2D7BB414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presumidamente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possui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causar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toxicidade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reprodutiva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humanos.</w:t>
            </w:r>
          </w:p>
          <w:p w14:paraId="76AB8FF6" w14:textId="0A5646AE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1179EF65" w14:textId="6D3DC520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suficiente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causa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adverso:</w:t>
            </w:r>
          </w:p>
          <w:p w14:paraId="0CE9444D" w14:textId="497D060B" w:rsidR="004C3529" w:rsidRDefault="00103539" w:rsidP="004C3529">
            <w:pPr>
              <w:numPr>
                <w:ilvl w:val="0"/>
                <w:numId w:val="7"/>
              </w:numPr>
              <w:spacing w:after="200" w:line="240" w:lineRule="auto"/>
              <w:ind w:left="0" w:right="12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fisiologia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reprodutiva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612574FC" w14:textId="16B51384" w:rsidR="004C3529" w:rsidRDefault="00103539" w:rsidP="004C3529">
            <w:pPr>
              <w:numPr>
                <w:ilvl w:val="0"/>
                <w:numId w:val="7"/>
              </w:numPr>
              <w:spacing w:after="200" w:line="240" w:lineRule="auto"/>
              <w:ind w:left="0" w:right="12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sobre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desenvolvimento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embriofetal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neonatal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6F873F11" w14:textId="66ED6EFE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limitada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complementada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suficiente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causa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adverso:</w:t>
            </w:r>
          </w:p>
          <w:p w14:paraId="1D1D1EFD" w14:textId="0CCC11A3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fisiologia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reprodutiva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6CFADE35" w14:textId="5585D657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ii</w:t>
            </w:r>
            <w:proofErr w:type="spellEnd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sobre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desenvolvimento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embriofetal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neonatal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humanos.</w:t>
            </w:r>
          </w:p>
          <w:p w14:paraId="1905F056" w14:textId="7160E7A4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devem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fornecer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ausência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outros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tóxicos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fisiologia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reprodutiva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sobre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desenvolvimento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embriofetal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neonatal.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ocorram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conjunto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outros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tóxicos,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devem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considerados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consequência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secundária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específica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outros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3C61831C" w14:textId="77777777" w:rsidTr="004144CC">
        <w:trPr>
          <w:trHeight w:val="2535"/>
          <w:tblCellSpacing w:w="0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954A4" w14:textId="6FE84294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2285D" w14:textId="341D7234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suspeito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causar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toxicidade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reprodutiva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humanos.</w:t>
            </w:r>
          </w:p>
          <w:p w14:paraId="0FE6BF6F" w14:textId="4B4E562E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limitada,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causa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adverso:</w:t>
            </w:r>
          </w:p>
          <w:p w14:paraId="3BD0564C" w14:textId="392B758F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fisiologia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reprodutiva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219DE3D6" w14:textId="0F273F41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sobre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desenvolvimento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embriofetal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neonatal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experimentais.</w:t>
            </w:r>
          </w:p>
          <w:p w14:paraId="69ECCC2B" w14:textId="7A0DD221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devem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fornecer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ausência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outros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tóxicos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fisiologia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reprodutiva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sobre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desenvolvimento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embriofetal</w:t>
            </w:r>
            <w:proofErr w:type="spell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neonatal.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ocorram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conjunto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outros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tóxicos,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devem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considerados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consequência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secundária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específica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outros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2F7354DD" w14:textId="77777777" w:rsidTr="004144CC">
        <w:trPr>
          <w:trHeight w:val="2280"/>
          <w:tblCellSpacing w:w="0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F9BD2" w14:textId="35F183FF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adicional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lactação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via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lactação.</w:t>
            </w:r>
          </w:p>
        </w:tc>
        <w:tc>
          <w:tcPr>
            <w:tcW w:w="6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9AA78" w14:textId="05510DAF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suspeito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causar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efeito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adverso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lactação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via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lactação.</w:t>
            </w:r>
          </w:p>
          <w:p w14:paraId="46C41874" w14:textId="0930B813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6B55DFE8" w14:textId="615B4697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indicando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perigo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lactentes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durante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período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lactação;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17160E7E" w14:textId="1F8387FA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descendentes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partir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uma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duas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devido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à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transferência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substância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através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leite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materno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adversos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sobre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qualidade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leite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materno;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669CFBC3" w14:textId="07124E08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toxicocinética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indiquem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possibilidade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ingrediente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ativo,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componentes,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impurezas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metabólitos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estarem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presentes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níveis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potencialmente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tóxicos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leite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materno.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8B60C6" w14:textId="452CABA6" w:rsidR="00103539" w:rsidRPr="00103539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037C43A7" w14:textId="309C8A9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6.2.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1B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toxicidade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reprodutiva.</w:t>
      </w:r>
    </w:p>
    <w:p w14:paraId="5F7173AA" w14:textId="587C455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6.3.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efeitos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adversos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fisiologia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reprodutiva,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efeitos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adversos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desenvolvimento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embriofetal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neonatal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efeitos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lactação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lactação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considerados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separadamente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fins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comunicação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perigo.</w:t>
      </w:r>
    </w:p>
    <w:p w14:paraId="0413C3BA" w14:textId="44FA6A6B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6.4.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interferem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lactação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possam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presentes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leite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materno,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incluindo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seus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metabólitos,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quantidades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suficientes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para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causar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preocupação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saúde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crianças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lactentes,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separadamente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efeitos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adversos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fisiologia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reprodutiva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efeitos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adversos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sobre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desenvolvimento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embriofetal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neonatal.</w:t>
      </w:r>
    </w:p>
    <w:p w14:paraId="664A5CCD" w14:textId="0B168B5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7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corrosão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cutânea</w:t>
      </w:r>
    </w:p>
    <w:p w14:paraId="7275D6D9" w14:textId="5998DD1E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7.1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dependendo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graduação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observadas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estratégia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abordagem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critérios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dispostos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7.</w:t>
      </w:r>
    </w:p>
    <w:p w14:paraId="19FA13B4" w14:textId="7E7C91D5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7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corrosão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849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6520"/>
      </w:tblGrid>
      <w:tr w:rsidR="00103539" w:rsidRPr="00103539" w14:paraId="6790EDED" w14:textId="77777777" w:rsidTr="004144CC">
        <w:trPr>
          <w:tblCellSpacing w:w="0" w:type="dxa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292AB" w14:textId="289B8A06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7F65" w14:textId="4EE0303A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Critérios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3539" w:rsidRPr="00103539" w14:paraId="2C9CB647" w14:textId="77777777" w:rsidTr="004144CC">
        <w:trPr>
          <w:trHeight w:val="1440"/>
          <w:tblCellSpacing w:w="0" w:type="dxa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9D91C" w14:textId="77777777" w:rsidR="004C3529" w:rsidRDefault="004C3529" w:rsidP="004C3529">
            <w:pPr>
              <w:spacing w:after="20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4F6FE309" w14:textId="34F27A48" w:rsidR="00103539" w:rsidRPr="00103539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5B307" w14:textId="1F5DA2D1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provocar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corrosão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cutânea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36B16787" w14:textId="71D2C453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0FDD01DA" w14:textId="371945BA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Destruição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tecido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cutâneo,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originando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uma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necrose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visível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epiderme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atingindo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derme,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pelo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submetido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ensaio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após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horas.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14936DF2" w14:textId="77777777" w:rsidTr="004144CC">
        <w:trPr>
          <w:tblCellSpacing w:w="0" w:type="dxa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99079" w14:textId="6E775DA8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81ACA" w14:textId="0EB4BEA2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provocar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irritação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cutânea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74F403B6" w14:textId="39174D7C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2FA4819B" w14:textId="1CDBE9B4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pelo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testados,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pontuação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média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eritema/escara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edema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≥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2,3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≤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determinada</w:t>
            </w:r>
            <w:proofErr w:type="gramEnd"/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leitura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cutâneas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horas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após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remoção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emplastros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tardias,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leitura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consecutivos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após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início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cutâneas;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610E45BF" w14:textId="68BA7C80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pelo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testados,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inflamação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persistente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durante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período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normalmente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dias,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considerando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alopecia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(área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limitada),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hiperqueratose,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hiperplasia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descamação;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5225F0CB" w14:textId="4AB63A04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onde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há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uma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variabilidade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pronunciada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respostas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entre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definidos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único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animal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relacionados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à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exposição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atingem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critérios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acima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definidos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categoria.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4BB5BA4E" w14:textId="77777777" w:rsidTr="004144CC">
        <w:trPr>
          <w:tblCellSpacing w:w="0" w:type="dxa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D9A5A" w14:textId="2F11256A" w:rsidR="00103539" w:rsidRPr="00103539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 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03539"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76CCD" w14:textId="6BB8F1BE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provocar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leve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irritação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cutânea</w:t>
            </w:r>
          </w:p>
          <w:p w14:paraId="714354EC" w14:textId="538B2027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2AB3B865" w14:textId="4FD82668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pelo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testados,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pontuação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média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eritema/escara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edema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≥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1,5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&lt;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2,3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determinada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leitura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cutâneas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horas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após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remoção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emplastros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tardias,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leitura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consecutivos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após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início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reações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cutâneas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(quando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incluído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irritante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acima).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5B92458" w14:textId="4D351D3C" w:rsidR="00103539" w:rsidRPr="00103539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7A30C16D" w14:textId="69158070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7.2.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enquadrarem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3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cutânea.</w:t>
      </w:r>
    </w:p>
    <w:p w14:paraId="3AFC3341" w14:textId="77777777" w:rsidR="004C3529" w:rsidRDefault="004C352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033FE05E" w14:textId="69A2B4DD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8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–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corrosão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ocular</w:t>
      </w:r>
    </w:p>
    <w:p w14:paraId="4286F224" w14:textId="3766ADA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dependendo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graduação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lesões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observadas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corrosão/irritação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estratégia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abordagem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critérios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dispostos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8.</w:t>
      </w:r>
    </w:p>
    <w:p w14:paraId="10428F54" w14:textId="4619183A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8-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corrosão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ocular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849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547"/>
      </w:tblGrid>
      <w:tr w:rsidR="00103539" w:rsidRPr="00103539" w14:paraId="2EA3A72E" w14:textId="77777777" w:rsidTr="004144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13C64" w14:textId="39BE1E56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6AEFB" w14:textId="08187155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Critérios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3539" w:rsidRPr="00103539" w14:paraId="4BB3551C" w14:textId="77777777" w:rsidTr="004144CC">
        <w:trPr>
          <w:trHeight w:val="1965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15AF0" w14:textId="71A6C5EF" w:rsidR="00103539" w:rsidRPr="00103539" w:rsidRDefault="00AF49B1" w:rsidP="004C3529">
            <w:pPr>
              <w:spacing w:after="20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671A911C" w14:textId="26CEAC3E" w:rsidR="00103539" w:rsidRPr="00103539" w:rsidRDefault="00103539" w:rsidP="004C3529">
            <w:pPr>
              <w:spacing w:after="200" w:line="240" w:lineRule="auto"/>
              <w:ind w:right="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DDCE8" w14:textId="22EC5EB4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provocar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sérios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danos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olhos/efeitos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irreversíveis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olhos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293D5DB9" w14:textId="5811E589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48FF38C1" w14:textId="3CC2DC72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pelo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testados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efeitos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córnea,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íris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conjuntiva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foram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revertidos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espera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haveria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reversão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total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dentro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período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dias;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622F4D3F" w14:textId="2DA1D62A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pelo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testados,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pontuação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média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opacidade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córnea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≥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&gt;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1,5,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determinada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leitura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lesões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oculares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horas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após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instilação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03539" w:rsidRPr="00103539" w14:paraId="0EBFD7E7" w14:textId="77777777" w:rsidTr="004144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3BA87" w14:textId="42443FBC" w:rsidR="00143412" w:rsidRDefault="00AF49B1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650D8D46" w14:textId="49DED094" w:rsidR="00103539" w:rsidRPr="00103539" w:rsidRDefault="00103539" w:rsidP="004C3529">
            <w:pPr>
              <w:spacing w:after="200" w:line="240" w:lineRule="auto"/>
              <w:ind w:right="6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19D28" w14:textId="0B7A1B83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induzir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irritação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olhos/efeitos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reversíveis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olhos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436BB5CA" w14:textId="106D5F59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29CBE93F" w14:textId="557FA435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pelo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testados,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pontuação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média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opacidade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córnea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≥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irite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≥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vermelhidão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conjuntiva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≥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edema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quemose</w:t>
            </w:r>
            <w:proofErr w:type="spellEnd"/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)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conjuntiva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≥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determinada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leitura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lesões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oculares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observadas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72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horas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após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instilação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reversão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total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destas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lesões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oculares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dentro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período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observação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dias.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1BD3AE" w14:textId="26551F91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8.2.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enquadrarem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2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corrosão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irritação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ocular.</w:t>
      </w:r>
    </w:p>
    <w:p w14:paraId="62E630D6" w14:textId="77777777" w:rsidR="004C3529" w:rsidRDefault="004C352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37A528B3" w14:textId="2379D8C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9-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cutânea.</w:t>
      </w:r>
    </w:p>
    <w:p w14:paraId="066D9469" w14:textId="7E71505E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dependendo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resposta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alérgica,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após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contato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pele,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observada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resultado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estratégia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testes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fases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abordagem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humanos,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critérios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dispostos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9.</w:t>
      </w:r>
    </w:p>
    <w:p w14:paraId="72803091" w14:textId="2D00CAE0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9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–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cutânea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849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015"/>
      </w:tblGrid>
      <w:tr w:rsidR="00103539" w:rsidRPr="00103539" w14:paraId="4E03E3AC" w14:textId="77777777" w:rsidTr="004144CC">
        <w:trPr>
          <w:tblCellSpacing w:w="0" w:type="dxa"/>
        </w:trPr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4275B" w14:textId="672FF685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7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6B17C" w14:textId="5E3CEC71" w:rsidR="00103539" w:rsidRPr="00103539" w:rsidRDefault="00103539" w:rsidP="004144CC">
            <w:pPr>
              <w:spacing w:after="20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Critérios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3539" w:rsidRPr="00103539" w14:paraId="309EE93F" w14:textId="77777777" w:rsidTr="004144CC">
        <w:trPr>
          <w:tblCellSpacing w:w="0" w:type="dxa"/>
        </w:trPr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2209E" w14:textId="779F78F7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  <w:tc>
          <w:tcPr>
            <w:tcW w:w="7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A0CCA" w14:textId="7E031FC1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provocar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sensibilização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cutânea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1204A0E8" w14:textId="671E4569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</w:p>
          <w:p w14:paraId="0BDD4D24" w14:textId="7600EC85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levar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à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sensibilização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cutânea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número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considerável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pessoas;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65741037" w14:textId="5347C5CD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A663D5" w14:textId="6E7577D3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9.2.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enquadrarem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cutânea.</w:t>
      </w:r>
    </w:p>
    <w:p w14:paraId="1A9A8408" w14:textId="77777777" w:rsidR="004C3529" w:rsidRDefault="004C352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2C81609F" w14:textId="5C3087AA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10-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respiratória.</w:t>
      </w:r>
    </w:p>
    <w:p w14:paraId="20ECEC0B" w14:textId="7A663D64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10.1.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respiratória,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dependendo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reações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hipersensibilidade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vias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aéreas,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observadas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animais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experimentais,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respiratória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estudos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seres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humanos,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abordagem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peso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evidência,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conforme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critérios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dispostos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Quadro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10.</w:t>
      </w:r>
    </w:p>
    <w:p w14:paraId="2EEDC9CB" w14:textId="77777777" w:rsidR="004144CC" w:rsidRDefault="004144CC">
      <w:pP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br w:type="page"/>
      </w:r>
    </w:p>
    <w:p w14:paraId="72568EAF" w14:textId="5313854D" w:rsidR="00103539" w:rsidRPr="0010353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Quadro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10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–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Classificação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toxicológica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em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função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respiratória</w:t>
      </w:r>
      <w:r w:rsidR="00AF49B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tbl>
      <w:tblPr>
        <w:tblW w:w="83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6708"/>
      </w:tblGrid>
      <w:tr w:rsidR="00103539" w:rsidRPr="00103539" w14:paraId="04334332" w14:textId="77777777" w:rsidTr="004144CC">
        <w:trPr>
          <w:tblCellSpacing w:w="0" w:type="dxa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D52B" w14:textId="0088CEDE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ACDBA" w14:textId="438916C6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Critérios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3539" w:rsidRPr="00103539" w14:paraId="3C7D6719" w14:textId="77777777" w:rsidTr="004144CC">
        <w:trPr>
          <w:tblCellSpacing w:w="0" w:type="dxa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59AD9" w14:textId="7511ACB4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Categoria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  <w:tc>
          <w:tcPr>
            <w:tcW w:w="6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24DD4" w14:textId="5AF39432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tem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potencial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provocar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sensibilização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respiratória</w:t>
            </w:r>
            <w:r w:rsidR="00AF49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2CC88D20" w14:textId="38CBFEA5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classificação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baseada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em:</w:t>
            </w:r>
            <w:bookmarkStart w:id="0" w:name="_GoBack"/>
            <w:bookmarkEnd w:id="0"/>
          </w:p>
          <w:p w14:paraId="5BB0DB4C" w14:textId="35256E8C" w:rsidR="004C352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seres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humanos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produto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possa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levar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quadro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hipersensibilidade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respiratória,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avaliação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técnica;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1F9F4742" w14:textId="5255586B" w:rsidR="00103539" w:rsidRPr="00103539" w:rsidRDefault="00103539" w:rsidP="004C3529">
            <w:pPr>
              <w:spacing w:after="200" w:line="240" w:lineRule="auto"/>
              <w:ind w:right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evidência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ou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resultados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positivos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estudos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animais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experimentais,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base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avaliação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03539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técnica.</w:t>
            </w:r>
            <w:r w:rsidR="00AF49B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E905CC" w14:textId="0B775D73" w:rsidR="00103539" w:rsidRPr="00103539" w:rsidRDefault="00AF49B1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14:paraId="094D2626" w14:textId="3A5B9702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10.2.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enquadrarem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Categoria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não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classificados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respiratória.</w:t>
      </w:r>
    </w:p>
    <w:p w14:paraId="28DF8753" w14:textId="62608E39" w:rsidR="004C3529" w:rsidRDefault="00103539" w:rsidP="004C3529">
      <w:pPr>
        <w:spacing w:after="200" w:line="240" w:lineRule="auto"/>
        <w:ind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10.3.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empresa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registrante</w:t>
      </w:r>
      <w:proofErr w:type="spellEnd"/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deve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informar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quando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houver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suspeitas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que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produto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ou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seus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componentes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possuem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potencial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de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sensibilização</w:t>
      </w:r>
      <w:r w:rsidR="00AF49B1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103539">
        <w:rPr>
          <w:rFonts w:ascii="Times New Roman" w:hAnsi="Times New Roman"/>
          <w:color w:val="000000"/>
          <w:sz w:val="24"/>
          <w:szCs w:val="24"/>
          <w:lang w:eastAsia="pt-BR"/>
        </w:rPr>
        <w:t>respiratória.</w:t>
      </w:r>
    </w:p>
    <w:p w14:paraId="4080E0D6" w14:textId="7AE7C78E" w:rsidR="00103539" w:rsidRPr="00103539" w:rsidRDefault="00103539" w:rsidP="004C3529">
      <w:p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103539" w:rsidRPr="00103539" w:rsidSect="00AF4E9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91F50" w14:textId="77777777" w:rsidR="00395D1B" w:rsidRDefault="00395D1B" w:rsidP="00656324">
      <w:pPr>
        <w:spacing w:after="0" w:line="240" w:lineRule="auto"/>
      </w:pPr>
      <w:r>
        <w:separator/>
      </w:r>
    </w:p>
  </w:endnote>
  <w:endnote w:type="continuationSeparator" w:id="0">
    <w:p w14:paraId="1EEBE1D2" w14:textId="77777777" w:rsidR="00395D1B" w:rsidRDefault="00395D1B" w:rsidP="0065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D439" w14:textId="77777777" w:rsidR="00782F57" w:rsidRDefault="00782F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881DB" w14:textId="77777777" w:rsidR="00656324" w:rsidRDefault="00656324" w:rsidP="00656324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6F1A6421" w14:textId="77777777" w:rsidR="00656324" w:rsidRDefault="0065632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4594F" w14:textId="77777777" w:rsidR="00782F57" w:rsidRDefault="00782F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FD70D" w14:textId="77777777" w:rsidR="00395D1B" w:rsidRDefault="00395D1B" w:rsidP="00656324">
      <w:pPr>
        <w:spacing w:after="0" w:line="240" w:lineRule="auto"/>
      </w:pPr>
      <w:r>
        <w:separator/>
      </w:r>
    </w:p>
  </w:footnote>
  <w:footnote w:type="continuationSeparator" w:id="0">
    <w:p w14:paraId="150C3B26" w14:textId="77777777" w:rsidR="00395D1B" w:rsidRDefault="00395D1B" w:rsidP="0065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72C4B" w14:textId="77777777" w:rsidR="00782F57" w:rsidRDefault="00782F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BF840" w14:textId="77777777" w:rsidR="00656324" w:rsidRPr="0018049F" w:rsidRDefault="00104782" w:rsidP="0065632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612614">
      <w:rPr>
        <w:noProof/>
        <w:lang w:eastAsia="pt-BR"/>
      </w:rPr>
      <w:drawing>
        <wp:inline distT="0" distB="0" distL="0" distR="0" wp14:anchorId="5DF70F48" wp14:editId="6A12356A">
          <wp:extent cx="638175" cy="62992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4F7CA6" w14:textId="77777777" w:rsidR="00656324" w:rsidRPr="0018049F" w:rsidRDefault="00656324" w:rsidP="0065632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416DDE7F" w14:textId="77777777" w:rsidR="00656324" w:rsidRDefault="00656324" w:rsidP="0065632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2EFD8115" w14:textId="77777777" w:rsidR="00656324" w:rsidRDefault="00656324" w:rsidP="0065632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6C007" w14:textId="77777777" w:rsidR="00782F57" w:rsidRDefault="00782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1F5"/>
    <w:multiLevelType w:val="multilevel"/>
    <w:tmpl w:val="3258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4E2B"/>
    <w:multiLevelType w:val="multilevel"/>
    <w:tmpl w:val="1706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415A"/>
    <w:multiLevelType w:val="multilevel"/>
    <w:tmpl w:val="9ADC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24876"/>
    <w:multiLevelType w:val="multilevel"/>
    <w:tmpl w:val="11FC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C4164"/>
    <w:multiLevelType w:val="multilevel"/>
    <w:tmpl w:val="BE2A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4"/>
    </w:lvlOverride>
  </w:num>
  <w:num w:numId="4">
    <w:abstractNumId w:val="3"/>
    <w:lvlOverride w:ilvl="0">
      <w:startOverride w:val="5"/>
    </w:lvlOverride>
  </w:num>
  <w:num w:numId="5">
    <w:abstractNumId w:val="3"/>
    <w:lvlOverride w:ilvl="0">
      <w:startOverride w:val="6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1D"/>
    <w:rsid w:val="00103539"/>
    <w:rsid w:val="00104782"/>
    <w:rsid w:val="00143412"/>
    <w:rsid w:val="001644A8"/>
    <w:rsid w:val="0018049F"/>
    <w:rsid w:val="001E53AA"/>
    <w:rsid w:val="00395D1B"/>
    <w:rsid w:val="004144CC"/>
    <w:rsid w:val="00423638"/>
    <w:rsid w:val="004C3529"/>
    <w:rsid w:val="00557C58"/>
    <w:rsid w:val="00612614"/>
    <w:rsid w:val="00656324"/>
    <w:rsid w:val="006B7BB9"/>
    <w:rsid w:val="00782F57"/>
    <w:rsid w:val="00847036"/>
    <w:rsid w:val="008B779E"/>
    <w:rsid w:val="00A31ED1"/>
    <w:rsid w:val="00AF49B1"/>
    <w:rsid w:val="00AF4E9B"/>
    <w:rsid w:val="00BE216A"/>
    <w:rsid w:val="00C02D9F"/>
    <w:rsid w:val="00CC6090"/>
    <w:rsid w:val="00E4751D"/>
    <w:rsid w:val="00EB45B4"/>
    <w:rsid w:val="00ED396C"/>
    <w:rsid w:val="00E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EFCDB2"/>
  <w14:defaultImageDpi w14:val="0"/>
  <w15:docId w15:val="{A41C403F-A7B3-4235-B19E-9AEC09A9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E4751D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E4751D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E4751D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E4751D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751D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4751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6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5632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56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656324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656324"/>
    <w:pPr>
      <w:ind w:left="720"/>
      <w:contextualSpacing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2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F57"/>
    <w:rPr>
      <w:rFonts w:ascii="Segoe UI" w:hAnsi="Segoe UI" w:cs="Segoe UI"/>
      <w:sz w:val="18"/>
      <w:szCs w:val="18"/>
    </w:rPr>
  </w:style>
  <w:style w:type="paragraph" w:customStyle="1" w:styleId="textocentralizadomaiusculas">
    <w:name w:val="texto_centralizado_maiusculas"/>
    <w:basedOn w:val="Normal"/>
    <w:rsid w:val="001035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03539"/>
    <w:rPr>
      <w:i/>
      <w:iCs/>
    </w:rPr>
  </w:style>
  <w:style w:type="paragraph" w:customStyle="1" w:styleId="tabelatextocentralizado">
    <w:name w:val="tabela_texto_centralizado"/>
    <w:basedOn w:val="Normal"/>
    <w:rsid w:val="001035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E71B-9960-48BD-B7BA-E123128C0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BD2E69-03A5-4A02-BC98-AD0CA1491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C9B4A-78D6-41B7-8D1C-1AD61AD23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5C121A-C21A-4DA6-850D-559DAECB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38</Pages>
  <Words>11755</Words>
  <Characters>63482</Characters>
  <Application>Microsoft Office Word</Application>
  <DocSecurity>0</DocSecurity>
  <Lines>529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15</cp:revision>
  <dcterms:created xsi:type="dcterms:W3CDTF">2019-07-31T12:02:00Z</dcterms:created>
  <dcterms:modified xsi:type="dcterms:W3CDTF">2019-07-31T12:26:00Z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