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957731" w:rsidRDefault="00957731" w:rsidP="005276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INSTRUÇÃO NORMATIVA</w:t>
      </w:r>
      <w:r w:rsidR="0052769E" w:rsidRPr="00957731">
        <w:rPr>
          <w:rFonts w:ascii="Times New Roman" w:hAnsi="Times New Roman" w:cs="Times New Roman"/>
          <w:b/>
          <w:sz w:val="24"/>
          <w:szCs w:val="24"/>
        </w:rPr>
        <w:t xml:space="preserve"> Nº 2, DE 31 DE MAIO DE </w:t>
      </w:r>
      <w:proofErr w:type="gramStart"/>
      <w:r w:rsidR="0052769E" w:rsidRPr="00957731">
        <w:rPr>
          <w:rFonts w:ascii="Times New Roman" w:hAnsi="Times New Roman" w:cs="Times New Roman"/>
          <w:b/>
          <w:sz w:val="24"/>
          <w:szCs w:val="24"/>
        </w:rPr>
        <w:t>2011</w:t>
      </w:r>
      <w:proofErr w:type="gramEnd"/>
    </w:p>
    <w:p w:rsidR="0052769E" w:rsidRPr="00957731" w:rsidRDefault="00957731" w:rsidP="0052769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107, de </w:t>
      </w:r>
      <w:proofErr w:type="gramStart"/>
      <w:r w:rsidR="0052769E" w:rsidRPr="00957731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52769E" w:rsidRPr="009577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2011)</w:t>
      </w:r>
    </w:p>
    <w:p w:rsidR="00C444CC" w:rsidRPr="00957731" w:rsidRDefault="00C444CC" w:rsidP="0052769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57731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40, de 26 de agosto de 2015</w:t>
      </w:r>
      <w:proofErr w:type="gramStart"/>
      <w:r w:rsidRPr="00957731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9F5F82" w:rsidRPr="00957731" w:rsidTr="009F5F82">
        <w:tc>
          <w:tcPr>
            <w:tcW w:w="4322" w:type="dxa"/>
          </w:tcPr>
          <w:p w:rsidR="009F5F82" w:rsidRPr="00957731" w:rsidRDefault="009F5F82" w:rsidP="0052769E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9F5F82" w:rsidRPr="00957731" w:rsidRDefault="009F5F82" w:rsidP="009F5F82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57731">
              <w:rPr>
                <w:rFonts w:ascii="Times New Roman" w:hAnsi="Times New Roman" w:cs="Times New Roman"/>
                <w:strike/>
                <w:sz w:val="24"/>
                <w:szCs w:val="24"/>
              </w:rPr>
              <w:t>Estabelece a relação de equipamentos médicos e materiais de uso em saúde que não se enquadram na situação de cadastro, permanecendo na obrigatoriedade de registro na ANVISA.</w:t>
            </w:r>
          </w:p>
        </w:tc>
      </w:tr>
    </w:tbl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957731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Regulamento da ANVISA, aprovado pelo Decreto </w:t>
      </w:r>
      <w:proofErr w:type="gramStart"/>
      <w:r w:rsidRPr="00957731">
        <w:rPr>
          <w:rFonts w:ascii="Times New Roman" w:hAnsi="Times New Roman" w:cs="Times New Roman"/>
          <w:strike/>
          <w:sz w:val="24"/>
          <w:szCs w:val="24"/>
        </w:rPr>
        <w:t>nº3.</w:t>
      </w:r>
      <w:proofErr w:type="gramEnd"/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029, de 16 de abril de 1999, e tendo em vista o disposto nos §§ 1º e 3º do art. 54 e no inciso II do art. 55 do Regimento Interno aprovados nos termos do Anexo I da Portaria nº354 da ANVISA, de 11 de agosto de 2006, republicada no DOU de 21 de agosto de 2006, em reunião realizada em 26 de maio de 2011, 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57731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 a seguinte Instrução Normativa e eu, Diretor-Presidente, determino a sua publicação: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Art. 1º Fica aprovada a presente Instrução Normativa que estabelece a relação dos equipamentos médicos e materiais de uso em saúde que são exceção ao regime de cadastramento junto à Agência Nacional de Vigilância Sanitária - ANVISA, permanecendo a obrigatoriedade de seu registro, nos termos de seu Anexo.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Parágrafo único. A relação de exceção indicada no anexo será atualizada sempre que justificada por informações técnicas e científicas sobre os riscos à saúde associados às tecnologias ou ao seu uso.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>Art. 2º Os produtos com uso relacionado à saúde, mas que não são passíveis de registro ou cadastro junto à ANVISA</w:t>
      </w:r>
      <w:proofErr w:type="gramStart"/>
      <w:r w:rsidRPr="00957731">
        <w:rPr>
          <w:rFonts w:ascii="Times New Roman" w:hAnsi="Times New Roman" w:cs="Times New Roman"/>
          <w:strike/>
          <w:sz w:val="24"/>
          <w:szCs w:val="24"/>
        </w:rPr>
        <w:t>, encontram-se</w:t>
      </w:r>
      <w:proofErr w:type="gramEnd"/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 indicados em uma relação exemplificativa de produtos não considerados produtos para saúde, disponibilizada no portal da ANVISA - www.anvisa.gov.br.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Art. 3º Os produtos médicos que devido às suas características sejam enquadrados nas Classes I ou II e não se encontrem no Anexo desta Instrução Normativa, porém possuam indicação/finalidade de uso inovadora ou possuam tecnologia nova ou de inovação, apesar de cadastrados, deverão apresentar documentação exigida para registro no que diz respeito às informações de segurança e eficácia.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Parágrafo único O disposto no caput deste artigo também se aplica aos equipamentos e aparelhos com função de medição, que mesmo cadastrados, devem apresentar comprovação com relação a questões metrológicas.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4º Fica Revogada a Instrução Normativa nº 7, de 07 de junho de 2010.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Art. 5º Esta Instrução Normativa entra em vigor na data de sua publicação. </w:t>
      </w:r>
    </w:p>
    <w:p w:rsidR="009F5F82" w:rsidRPr="00957731" w:rsidRDefault="009F5F82" w:rsidP="009F5F82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>DIRCEU BRÁS APARECIDO BARBANO</w:t>
      </w:r>
    </w:p>
    <w:p w:rsidR="009F5F82" w:rsidRPr="00957731" w:rsidRDefault="009F5F82" w:rsidP="009F5F82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F5F82" w:rsidRPr="00957731" w:rsidRDefault="009F5F82" w:rsidP="0095773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57731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9F5F82" w:rsidRPr="00957731" w:rsidRDefault="009F5F82" w:rsidP="0095773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57731">
        <w:rPr>
          <w:rFonts w:ascii="Times New Roman" w:hAnsi="Times New Roman" w:cs="Times New Roman"/>
          <w:b/>
          <w:strike/>
          <w:sz w:val="24"/>
          <w:szCs w:val="24"/>
        </w:rPr>
        <w:t>RELAÇÃO DOS EQUIPAMENTOS MÉDICOS E MATERIAIS DE USO EM SAÚDE QUE PERMANECEM NA EXIGÊNCIA DE REGISTRO NA ANVISA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 Lista de equipamentos médicos e materiais de uso em saúde, enquadrados nas classes de risco I e II, que não estão sujeitos ao regime de cadastramento, permanecendo a exigência de seu registro.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1.1 Equipamentos de uso em saúde: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1.1.1 Equipamento para desinfecção e esterilização de produtos médicos;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1.1.2 Equipamento para processamento de componentes sanguíneos, que sejam destinados </w:t>
      </w:r>
      <w:proofErr w:type="gramStart"/>
      <w:r w:rsidRPr="00957731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 infusão no corpo humano;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1.1.3 Software médico, não embarcado em equipamento de uso em saúde, que realize processamento de imagens médicas, ou sugira resultado de diagnóstico, ou destine-se ao uso em procedimentos cirúrgicos ou em ambientes de unidade de terapia intensiva (UTI), ou ainda o que influencie diretamente no funcionamento de equipamentos de uso em </w:t>
      </w:r>
      <w:proofErr w:type="gramStart"/>
      <w:r w:rsidRPr="00957731">
        <w:rPr>
          <w:rFonts w:ascii="Times New Roman" w:hAnsi="Times New Roman" w:cs="Times New Roman"/>
          <w:strike/>
          <w:sz w:val="24"/>
          <w:szCs w:val="24"/>
        </w:rPr>
        <w:t>saúde sujeitos</w:t>
      </w:r>
      <w:proofErr w:type="gramEnd"/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 a registro;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1.1.4 Equipamento para diagnóstico in vitro que apresente resultados de determinação qualitativa, quantitativa ou </w:t>
      </w:r>
      <w:proofErr w:type="spellStart"/>
      <w:proofErr w:type="gramStart"/>
      <w:r w:rsidRPr="00957731">
        <w:rPr>
          <w:rFonts w:ascii="Times New Roman" w:hAnsi="Times New Roman" w:cs="Times New Roman"/>
          <w:strike/>
          <w:sz w:val="24"/>
          <w:szCs w:val="24"/>
        </w:rPr>
        <w:t>semi-quantitativa</w:t>
      </w:r>
      <w:proofErr w:type="spellEnd"/>
      <w:proofErr w:type="gramEnd"/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 de uma amostra proveniente do corpo humano, como, por exemplo, analisador bioquímico, analisador imunológico, medidor de glicose etc.;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>1.1.5</w:t>
      </w:r>
      <w:proofErr w:type="gramStart"/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  </w:t>
      </w:r>
      <w:proofErr w:type="spellStart"/>
      <w:proofErr w:type="gramEnd"/>
      <w:r w:rsidRPr="00957731">
        <w:rPr>
          <w:rFonts w:ascii="Times New Roman" w:hAnsi="Times New Roman" w:cs="Times New Roman"/>
          <w:strike/>
          <w:sz w:val="24"/>
          <w:szCs w:val="24"/>
        </w:rPr>
        <w:t>Reprocessador</w:t>
      </w:r>
      <w:proofErr w:type="spellEnd"/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 de </w:t>
      </w:r>
      <w:proofErr w:type="spellStart"/>
      <w:r w:rsidRPr="00957731">
        <w:rPr>
          <w:rFonts w:ascii="Times New Roman" w:hAnsi="Times New Roman" w:cs="Times New Roman"/>
          <w:strike/>
          <w:sz w:val="24"/>
          <w:szCs w:val="24"/>
        </w:rPr>
        <w:t>hemodialisador</w:t>
      </w:r>
      <w:proofErr w:type="spellEnd"/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1.1.6 Equipamento para processamento de imagens médicas;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1.1.7 Equipamento de ressonância magnética;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1.1.8 Equipamento que se destine a produzir imagens </w:t>
      </w:r>
      <w:proofErr w:type="spellStart"/>
      <w:r w:rsidRPr="00957731">
        <w:rPr>
          <w:rFonts w:ascii="Times New Roman" w:hAnsi="Times New Roman" w:cs="Times New Roman"/>
          <w:strike/>
          <w:sz w:val="24"/>
          <w:szCs w:val="24"/>
        </w:rPr>
        <w:t>in-vivo</w:t>
      </w:r>
      <w:proofErr w:type="spellEnd"/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 da distribuição de </w:t>
      </w:r>
      <w:proofErr w:type="spellStart"/>
      <w:r w:rsidRPr="00957731">
        <w:rPr>
          <w:rFonts w:ascii="Times New Roman" w:hAnsi="Times New Roman" w:cs="Times New Roman"/>
          <w:strike/>
          <w:sz w:val="24"/>
          <w:szCs w:val="24"/>
        </w:rPr>
        <w:t>radiofármacos</w:t>
      </w:r>
      <w:proofErr w:type="spellEnd"/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1.1.9 Equipamento de imagem por </w:t>
      </w:r>
      <w:proofErr w:type="spellStart"/>
      <w:proofErr w:type="gramStart"/>
      <w:r w:rsidRPr="00957731">
        <w:rPr>
          <w:rFonts w:ascii="Times New Roman" w:hAnsi="Times New Roman" w:cs="Times New Roman"/>
          <w:strike/>
          <w:sz w:val="24"/>
          <w:szCs w:val="24"/>
        </w:rPr>
        <w:t>ultra-som</w:t>
      </w:r>
      <w:proofErr w:type="spellEnd"/>
      <w:proofErr w:type="gramEnd"/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; e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1.1.10 Sistema de endoscopia com aplicação cirúrgica.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1.2 Materiais de uso em saúde: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>1.2.1 Produtos constituídos por líquidos, géis, pastas, cremes ou pós que entrem em c</w:t>
      </w:r>
      <w:r w:rsidR="00957731">
        <w:rPr>
          <w:rFonts w:ascii="Times New Roman" w:hAnsi="Times New Roman" w:cs="Times New Roman"/>
          <w:strike/>
          <w:sz w:val="24"/>
          <w:szCs w:val="24"/>
        </w:rPr>
        <w:t>ontato direto com o organismo;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1.2.2 Componentes para ortodontia que são fixados nos dentes;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1.2.3 Filtros para diálise hepática;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1.2.4 Filtros para hemodiálise;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1.2.5 Filtros para remoção de derivados do sangue;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1.2.6 Fios de sutura;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1.2.7 Lentes de contato;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>1.2.8 Materiais implantáveis nos dentes (</w:t>
      </w:r>
      <w:proofErr w:type="spellStart"/>
      <w:r w:rsidRPr="00957731">
        <w:rPr>
          <w:rFonts w:ascii="Times New Roman" w:hAnsi="Times New Roman" w:cs="Times New Roman"/>
          <w:strike/>
          <w:sz w:val="24"/>
          <w:szCs w:val="24"/>
        </w:rPr>
        <w:t>ex</w:t>
      </w:r>
      <w:proofErr w:type="spellEnd"/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: resinas, </w:t>
      </w:r>
      <w:bookmarkStart w:id="0" w:name="_GoBack"/>
      <w:bookmarkEnd w:id="0"/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amálgama, cimentos e núcleos);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1.2.9 Sistemas para aférese sem bolsas plásticas;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1.2.10 Circuitos para circulação </w:t>
      </w:r>
      <w:proofErr w:type="spellStart"/>
      <w:proofErr w:type="gramStart"/>
      <w:r w:rsidRPr="00957731">
        <w:rPr>
          <w:rFonts w:ascii="Times New Roman" w:hAnsi="Times New Roman" w:cs="Times New Roman"/>
          <w:strike/>
          <w:sz w:val="24"/>
          <w:szCs w:val="24"/>
        </w:rPr>
        <w:t>extra-corpórea</w:t>
      </w:r>
      <w:proofErr w:type="spellEnd"/>
      <w:proofErr w:type="gramEnd"/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; e </w:t>
      </w:r>
    </w:p>
    <w:p w:rsidR="009F5F82" w:rsidRPr="00957731" w:rsidRDefault="009F5F82" w:rsidP="009F5F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57731">
        <w:rPr>
          <w:rFonts w:ascii="Times New Roman" w:hAnsi="Times New Roman" w:cs="Times New Roman"/>
          <w:strike/>
          <w:sz w:val="24"/>
          <w:szCs w:val="24"/>
        </w:rPr>
        <w:t xml:space="preserve">1.2.11 Componentes de implantes dentários. </w:t>
      </w:r>
    </w:p>
    <w:sectPr w:rsidR="009F5F82" w:rsidRPr="0095773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731" w:rsidRDefault="00957731" w:rsidP="00957731">
      <w:pPr>
        <w:spacing w:after="0" w:line="240" w:lineRule="auto"/>
      </w:pPr>
      <w:r>
        <w:separator/>
      </w:r>
    </w:p>
  </w:endnote>
  <w:endnote w:type="continuationSeparator" w:id="0">
    <w:p w:rsidR="00957731" w:rsidRDefault="00957731" w:rsidP="0095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731" w:rsidRDefault="00957731" w:rsidP="00957731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731" w:rsidRDefault="00957731" w:rsidP="00957731">
      <w:pPr>
        <w:spacing w:after="0" w:line="240" w:lineRule="auto"/>
      </w:pPr>
      <w:r>
        <w:separator/>
      </w:r>
    </w:p>
  </w:footnote>
  <w:footnote w:type="continuationSeparator" w:id="0">
    <w:p w:rsidR="00957731" w:rsidRDefault="00957731" w:rsidP="00957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731" w:rsidRDefault="00957731" w:rsidP="00957731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4839296F" wp14:editId="53F76835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57731" w:rsidRPr="007C54E1" w:rsidRDefault="00957731" w:rsidP="00957731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957731" w:rsidRPr="007C54E1" w:rsidRDefault="00957731" w:rsidP="00957731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957731" w:rsidRDefault="0095773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69E"/>
    <w:rsid w:val="001806A2"/>
    <w:rsid w:val="001E708B"/>
    <w:rsid w:val="0052769E"/>
    <w:rsid w:val="005C7B63"/>
    <w:rsid w:val="007441BF"/>
    <w:rsid w:val="00786686"/>
    <w:rsid w:val="00957731"/>
    <w:rsid w:val="009F5F82"/>
    <w:rsid w:val="00B30817"/>
    <w:rsid w:val="00C444CC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F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577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731"/>
  </w:style>
  <w:style w:type="paragraph" w:styleId="Rodap">
    <w:name w:val="footer"/>
    <w:basedOn w:val="Normal"/>
    <w:link w:val="RodapChar"/>
    <w:uiPriority w:val="99"/>
    <w:unhideWhenUsed/>
    <w:rsid w:val="009577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731"/>
  </w:style>
  <w:style w:type="paragraph" w:styleId="Textodebalo">
    <w:name w:val="Balloon Text"/>
    <w:basedOn w:val="Normal"/>
    <w:link w:val="TextodebaloChar"/>
    <w:uiPriority w:val="99"/>
    <w:semiHidden/>
    <w:unhideWhenUsed/>
    <w:rsid w:val="00957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F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577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731"/>
  </w:style>
  <w:style w:type="paragraph" w:styleId="Rodap">
    <w:name w:val="footer"/>
    <w:basedOn w:val="Normal"/>
    <w:link w:val="RodapChar"/>
    <w:uiPriority w:val="99"/>
    <w:unhideWhenUsed/>
    <w:rsid w:val="009577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731"/>
  </w:style>
  <w:style w:type="paragraph" w:styleId="Textodebalo">
    <w:name w:val="Balloon Text"/>
    <w:basedOn w:val="Normal"/>
    <w:link w:val="TextodebaloChar"/>
    <w:uiPriority w:val="99"/>
    <w:semiHidden/>
    <w:unhideWhenUsed/>
    <w:rsid w:val="00957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B42367-A33D-4FF8-9D6F-AB0A9E06EE9C}"/>
</file>

<file path=customXml/itemProps2.xml><?xml version="1.0" encoding="utf-8"?>
<ds:datastoreItem xmlns:ds="http://schemas.openxmlformats.org/officeDocument/2006/customXml" ds:itemID="{59229429-F2F1-4F77-B600-14021C9441B0}"/>
</file>

<file path=customXml/itemProps3.xml><?xml version="1.0" encoding="utf-8"?>
<ds:datastoreItem xmlns:ds="http://schemas.openxmlformats.org/officeDocument/2006/customXml" ds:itemID="{8C8E55C5-8601-4659-BBD5-B26249C0FE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718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2016-02-18T14:59:00Z</dcterms:created>
  <dcterms:modified xsi:type="dcterms:W3CDTF">2016-06-30T14:19:00Z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