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90B81" w:rsidRDefault="00390B81" w:rsidP="00624F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Nº 4, DE </w:t>
      </w:r>
      <w:proofErr w:type="gramStart"/>
      <w:r w:rsidR="00624FAF" w:rsidRPr="00390B81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="00624FAF" w:rsidRPr="00390B81">
        <w:rPr>
          <w:rFonts w:ascii="Times New Roman" w:hAnsi="Times New Roman" w:cs="Times New Roman"/>
          <w:b/>
          <w:sz w:val="24"/>
          <w:szCs w:val="24"/>
        </w:rPr>
        <w:t xml:space="preserve"> DE AGOSTO DE 2011</w:t>
      </w:r>
    </w:p>
    <w:p w:rsidR="00624FAF" w:rsidRPr="00390B81" w:rsidRDefault="00390B81" w:rsidP="00624FA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150, de </w:t>
      </w:r>
      <w:proofErr w:type="gramStart"/>
      <w:r w:rsidR="00624FAF" w:rsidRPr="00390B81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proofErr w:type="gramEnd"/>
      <w:r w:rsidR="00624FAF" w:rsidRPr="00390B8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2011)</w:t>
      </w:r>
    </w:p>
    <w:p w:rsidR="00736F84" w:rsidRPr="00390B81" w:rsidRDefault="005D487B" w:rsidP="00624FA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90B81">
        <w:rPr>
          <w:rFonts w:ascii="Times New Roman" w:hAnsi="Times New Roman" w:cs="Times New Roman"/>
          <w:b/>
          <w:color w:val="0000FF"/>
          <w:sz w:val="24"/>
          <w:szCs w:val="24"/>
        </w:rPr>
        <w:t>(Revogada pela Instrução Normativa</w:t>
      </w:r>
      <w:r w:rsidR="00736F84" w:rsidRPr="00390B8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390B8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nº </w:t>
      </w:r>
      <w:r w:rsidR="00736F84" w:rsidRPr="00390B81">
        <w:rPr>
          <w:rFonts w:ascii="Times New Roman" w:hAnsi="Times New Roman" w:cs="Times New Roman"/>
          <w:b/>
          <w:color w:val="0000FF"/>
          <w:sz w:val="24"/>
          <w:szCs w:val="24"/>
        </w:rPr>
        <w:t>2, de 14 de março de 2013</w:t>
      </w:r>
      <w:proofErr w:type="gramStart"/>
      <w:r w:rsidR="00736F84" w:rsidRPr="00390B8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E5F2F" w:rsidRPr="00390B81" w:rsidTr="009E5F2F">
        <w:tc>
          <w:tcPr>
            <w:tcW w:w="4322" w:type="dxa"/>
          </w:tcPr>
          <w:p w:rsidR="009E5F2F" w:rsidRPr="00390B81" w:rsidRDefault="009E5F2F" w:rsidP="00624FA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9E5F2F" w:rsidRPr="00390B81" w:rsidRDefault="009E5F2F" w:rsidP="009E5F2F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390B8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Dispõe sobre a lista de fármacos candidatos à </w:t>
            </w:r>
            <w:proofErr w:type="spellStart"/>
            <w:r w:rsidRPr="00390B81">
              <w:rPr>
                <w:rFonts w:ascii="Times New Roman" w:hAnsi="Times New Roman" w:cs="Times New Roman"/>
                <w:strike/>
                <w:sz w:val="24"/>
                <w:szCs w:val="24"/>
              </w:rPr>
              <w:t>bioisenção</w:t>
            </w:r>
            <w:proofErr w:type="spellEnd"/>
            <w:r w:rsidRPr="00390B8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baseada no sistema de classificação </w:t>
            </w:r>
            <w:proofErr w:type="spellStart"/>
            <w:r w:rsidRPr="00390B81">
              <w:rPr>
                <w:rFonts w:ascii="Times New Roman" w:hAnsi="Times New Roman" w:cs="Times New Roman"/>
                <w:strike/>
                <w:sz w:val="24"/>
                <w:szCs w:val="24"/>
              </w:rPr>
              <w:t>biofarmacêutica</w:t>
            </w:r>
            <w:proofErr w:type="spellEnd"/>
            <w:r w:rsidRPr="00390B8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(SCB) e dá outras providências.</w:t>
            </w:r>
          </w:p>
        </w:tc>
      </w:tr>
    </w:tbl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390B81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390B81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de agosto de 2011 , e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90B8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as disposições contidas na Resolução RDC nº 37 de 3 de agosto de 2011, que trata da isenção e substituição de estudos de biodisponibilidade relativa/bioequivalência,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90B81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a seguinte Instrução Normativa e eu, Diretor-Presidente, determino a sua publicação: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Art. 1º Fica aprovada a lista de fármacos candidatos à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bioisenção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baseada no sistema de classificação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biofarmacêutica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(SCB), nos termos do art. 7º da Resolução - RDC nº 37 de 2011 que dispõe sobre o Guia para isenção e substituição de estudos de biodisponibilidade relativa/bioequivalência.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Art. 2º Medicamentos </w:t>
      </w:r>
      <w:proofErr w:type="gramStart"/>
      <w:r w:rsidRPr="00390B81">
        <w:rPr>
          <w:rFonts w:ascii="Times New Roman" w:hAnsi="Times New Roman" w:cs="Times New Roman"/>
          <w:strike/>
          <w:sz w:val="24"/>
          <w:szCs w:val="24"/>
        </w:rPr>
        <w:t>genéricos, similares</w:t>
      </w:r>
      <w:proofErr w:type="gram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ou novos, orais de liberação imediata, contendo os seguintes fármacos, poderão ser candidatos à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bioisenção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baseada no sistema de classificação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biofarmacêutica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I – ácido acetilsalicílico;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II – cloridrato de propranolol;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III – cloridrato de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doxiciclina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IV – dipirona;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V –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estavudina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VI –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fluconazol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VII –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isoniazida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VIII –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levofloxacino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bookmarkStart w:id="0" w:name="_GoBack"/>
      <w:bookmarkEnd w:id="0"/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IX –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metoprolol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X –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metronidazol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XI – paracetamol; ou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XII –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sotalol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§ 1º Para os efeitos deste artigo, serão considerados medicamentos novos os casos previstos no parágrafo único do art. 3º da Resolução – RDC nº 37 de 2011, que dispõe sobre o Guia para isenção e substituição de estudos de biodisponibilidade relativa/bioequivalência.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§ 2º Os fármacos listados neste artigo apresentam alta permeabilidade intestinal (fração de dose absorvida ≥ 85% da dose administrada, demonstrada com base em dados provenientes de estudos em seres humanos), ampla faixa terapêutica e ausência de evidências documentadas de </w:t>
      </w:r>
      <w:proofErr w:type="spellStart"/>
      <w:r w:rsidRPr="00390B81">
        <w:rPr>
          <w:rFonts w:ascii="Times New Roman" w:hAnsi="Times New Roman" w:cs="Times New Roman"/>
          <w:strike/>
          <w:sz w:val="24"/>
          <w:szCs w:val="24"/>
        </w:rPr>
        <w:t>bioinequivalência</w:t>
      </w:r>
      <w:proofErr w:type="spellEnd"/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 ou problemas de biodisponibilidade devido à formulação. </w:t>
      </w:r>
    </w:p>
    <w:p w:rsidR="009E5F2F" w:rsidRPr="00390B81" w:rsidRDefault="009E5F2F" w:rsidP="009E5F2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 xml:space="preserve">Art. 3º Esta Instrução Normativa entra em vigor na data de sua publicação. </w:t>
      </w:r>
    </w:p>
    <w:p w:rsidR="00390B81" w:rsidRDefault="00390B81" w:rsidP="009E5F2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9E5F2F" w:rsidRPr="00390B81" w:rsidRDefault="009E5F2F" w:rsidP="009E5F2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390B81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sectPr w:rsidR="009E5F2F" w:rsidRPr="00390B8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B81" w:rsidRDefault="00390B81" w:rsidP="00390B81">
      <w:pPr>
        <w:spacing w:after="0" w:line="240" w:lineRule="auto"/>
      </w:pPr>
      <w:r>
        <w:separator/>
      </w:r>
    </w:p>
  </w:endnote>
  <w:endnote w:type="continuationSeparator" w:id="0">
    <w:p w:rsidR="00390B81" w:rsidRDefault="00390B81" w:rsidP="0039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B81" w:rsidRPr="00390B81" w:rsidRDefault="00390B81" w:rsidP="00390B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B81" w:rsidRDefault="00390B81" w:rsidP="00390B81">
      <w:pPr>
        <w:spacing w:after="0" w:line="240" w:lineRule="auto"/>
      </w:pPr>
      <w:r>
        <w:separator/>
      </w:r>
    </w:p>
  </w:footnote>
  <w:footnote w:type="continuationSeparator" w:id="0">
    <w:p w:rsidR="00390B81" w:rsidRDefault="00390B81" w:rsidP="0039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B81" w:rsidRPr="00B517AC" w:rsidRDefault="00390B81" w:rsidP="00390B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E031BBA" wp14:editId="784B75A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0B81" w:rsidRPr="00B517AC" w:rsidRDefault="00390B81" w:rsidP="00390B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90B81" w:rsidRPr="00B517AC" w:rsidRDefault="00390B81" w:rsidP="00390B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90B81" w:rsidRDefault="00390B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AF"/>
    <w:rsid w:val="001E708B"/>
    <w:rsid w:val="00390B81"/>
    <w:rsid w:val="005D487B"/>
    <w:rsid w:val="00614288"/>
    <w:rsid w:val="00624FAF"/>
    <w:rsid w:val="00736F84"/>
    <w:rsid w:val="007441BF"/>
    <w:rsid w:val="00786686"/>
    <w:rsid w:val="009E5F2F"/>
    <w:rsid w:val="00B30817"/>
    <w:rsid w:val="00D621E1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E5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0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B81"/>
  </w:style>
  <w:style w:type="paragraph" w:styleId="Rodap">
    <w:name w:val="footer"/>
    <w:basedOn w:val="Normal"/>
    <w:link w:val="RodapChar"/>
    <w:uiPriority w:val="99"/>
    <w:unhideWhenUsed/>
    <w:rsid w:val="00390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B81"/>
  </w:style>
  <w:style w:type="paragraph" w:styleId="Textodebalo">
    <w:name w:val="Balloon Text"/>
    <w:basedOn w:val="Normal"/>
    <w:link w:val="TextodebaloChar"/>
    <w:uiPriority w:val="99"/>
    <w:semiHidden/>
    <w:unhideWhenUsed/>
    <w:rsid w:val="0039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E5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0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B81"/>
  </w:style>
  <w:style w:type="paragraph" w:styleId="Rodap">
    <w:name w:val="footer"/>
    <w:basedOn w:val="Normal"/>
    <w:link w:val="RodapChar"/>
    <w:uiPriority w:val="99"/>
    <w:unhideWhenUsed/>
    <w:rsid w:val="00390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B81"/>
  </w:style>
  <w:style w:type="paragraph" w:styleId="Textodebalo">
    <w:name w:val="Balloon Text"/>
    <w:basedOn w:val="Normal"/>
    <w:link w:val="TextodebaloChar"/>
    <w:uiPriority w:val="99"/>
    <w:semiHidden/>
    <w:unhideWhenUsed/>
    <w:rsid w:val="0039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C883B-BAD7-4978-BF93-EF0B18D53F9A}"/>
</file>

<file path=customXml/itemProps2.xml><?xml version="1.0" encoding="utf-8"?>
<ds:datastoreItem xmlns:ds="http://schemas.openxmlformats.org/officeDocument/2006/customXml" ds:itemID="{53B50C70-4A4D-42EB-B26C-077C93C02620}"/>
</file>

<file path=customXml/itemProps3.xml><?xml version="1.0" encoding="utf-8"?>
<ds:datastoreItem xmlns:ds="http://schemas.openxmlformats.org/officeDocument/2006/customXml" ds:itemID="{5F103474-DC38-41E8-B27C-EE05923CEA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2015-11-10T14:03:00Z</dcterms:created>
  <dcterms:modified xsi:type="dcterms:W3CDTF">2017-01-20T16:59:00Z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