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044" w:rsidRDefault="00467044" w:rsidP="00287815">
      <w:pPr>
        <w:pStyle w:val="Ttulo1"/>
        <w:spacing w:before="0" w:beforeAutospacing="0" w:after="200" w:afterAutospacing="0"/>
        <w:ind w:left="57"/>
        <w:divId w:val="120995248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87815">
        <w:rPr>
          <w:rFonts w:ascii="Times New Roman" w:hAnsi="Times New Roman" w:cs="Times New Roman"/>
          <w:sz w:val="24"/>
          <w:szCs w:val="24"/>
        </w:rPr>
        <w:t>INSTRUÇÃO NORMATIVA N° 5 DE 11 DE ABRIL DE 2007.</w:t>
      </w:r>
    </w:p>
    <w:p w:rsidR="00287815" w:rsidRPr="000E57A5" w:rsidRDefault="00287815" w:rsidP="00287815">
      <w:pPr>
        <w:jc w:val="center"/>
        <w:divId w:val="1209952482"/>
        <w:rPr>
          <w:b/>
          <w:color w:val="0000FF"/>
        </w:rPr>
      </w:pPr>
      <w:r w:rsidRPr="000E57A5">
        <w:rPr>
          <w:b/>
          <w:color w:val="0000FF"/>
        </w:rPr>
        <w:t xml:space="preserve">(Publicada no DOU nº </w:t>
      </w:r>
      <w:r>
        <w:rPr>
          <w:b/>
          <w:color w:val="0000FF"/>
        </w:rPr>
        <w:t>71</w:t>
      </w:r>
      <w:r w:rsidRPr="000E57A5">
        <w:rPr>
          <w:b/>
          <w:color w:val="0000FF"/>
        </w:rPr>
        <w:t>, de 1</w:t>
      </w:r>
      <w:r>
        <w:rPr>
          <w:b/>
          <w:color w:val="0000FF"/>
        </w:rPr>
        <w:t>3 de abril de 200</w:t>
      </w:r>
      <w:r w:rsidRPr="000E57A5">
        <w:rPr>
          <w:b/>
          <w:color w:val="0000FF"/>
        </w:rPr>
        <w:t>7)</w:t>
      </w:r>
    </w:p>
    <w:p w:rsidR="00467044" w:rsidRPr="00287815" w:rsidRDefault="00467044" w:rsidP="00287815">
      <w:pPr>
        <w:pStyle w:val="Corpodetexto2"/>
        <w:spacing w:before="0" w:beforeAutospacing="0" w:after="200" w:afterAutospacing="0" w:line="240" w:lineRule="auto"/>
        <w:ind w:left="3969"/>
        <w:jc w:val="both"/>
        <w:divId w:val="1209952482"/>
      </w:pPr>
      <w:r w:rsidRPr="00287815">
        <w:t>Dispõe sobre os limites de potência para registro e notificação de medicamentos dinamizados.</w:t>
      </w:r>
    </w:p>
    <w:p w:rsidR="00467044" w:rsidRPr="00287815" w:rsidRDefault="00467044" w:rsidP="00287815">
      <w:pPr>
        <w:spacing w:before="0" w:beforeAutospacing="0" w:after="200" w:afterAutospacing="0"/>
        <w:ind w:left="57" w:firstLine="567"/>
        <w:jc w:val="both"/>
        <w:divId w:val="1209952482"/>
      </w:pPr>
      <w:r w:rsidRPr="00287815">
        <w:rPr>
          <w:b/>
          <w:bCs/>
        </w:rPr>
        <w:t>O Diretor-Presidente da Agência Nacional de Vigilância Sanitária</w:t>
      </w:r>
      <w:r w:rsidRPr="00287815">
        <w:t>, no uso das atribuições que lhe conferem o Decreto de nomeação, de 30 de junho de 2005, do Presidente da República, e o inciso X do art. 13 do Regulamento da ANVISA, aprovado pelo Decreto n° 3.029, de 16 de abril de 1999, tendo em vista o disposto no inciso VIII do art. 16 e no inciso II, § 2º do art. 55 do Regimento Interno da ANVISA, aprovado nos termos do Anexo I da Portaria n.º354, de 11 de agosto de 2006, republicada no DOU de 21 de agosto de 2006,</w:t>
      </w:r>
    </w:p>
    <w:p w:rsidR="00467044" w:rsidRPr="00287815" w:rsidRDefault="00467044" w:rsidP="00287815">
      <w:pPr>
        <w:spacing w:before="0" w:beforeAutospacing="0" w:after="200" w:afterAutospacing="0"/>
        <w:ind w:left="57" w:firstLine="567"/>
        <w:jc w:val="both"/>
        <w:divId w:val="1209952482"/>
      </w:pPr>
      <w:r w:rsidRPr="00287815">
        <w:t>considerando o disposto nos arts. 6 e 13 da Resolução - RDC 26, de 30 de março de 2007 que dispõe sobre o registro de medicamentos dinamizados industrializados;</w:t>
      </w:r>
    </w:p>
    <w:p w:rsidR="00467044" w:rsidRPr="00287815" w:rsidRDefault="00467044" w:rsidP="00287815">
      <w:pPr>
        <w:spacing w:before="0" w:beforeAutospacing="0" w:after="200" w:afterAutospacing="0"/>
        <w:ind w:left="57" w:firstLine="567"/>
        <w:jc w:val="both"/>
        <w:divId w:val="1209952482"/>
      </w:pPr>
      <w:r w:rsidRPr="00287815">
        <w:t>considerando a necessidade de estabelecer os limites de potência para registro e notificação  de medicamentos dinamizados em função de sua segurança toxicológica;</w:t>
      </w:r>
    </w:p>
    <w:p w:rsidR="00467044" w:rsidRPr="00287815" w:rsidRDefault="00467044" w:rsidP="00287815">
      <w:pPr>
        <w:pStyle w:val="Corpodetexto3"/>
        <w:spacing w:before="0" w:beforeAutospacing="0" w:after="200" w:afterAutospacing="0"/>
        <w:ind w:left="57" w:firstLine="567"/>
        <w:jc w:val="both"/>
        <w:divId w:val="1209952482"/>
        <w:rPr>
          <w:sz w:val="24"/>
          <w:szCs w:val="24"/>
        </w:rPr>
      </w:pPr>
      <w:r w:rsidRPr="00287815">
        <w:rPr>
          <w:sz w:val="24"/>
          <w:szCs w:val="24"/>
        </w:rPr>
        <w:t>considerando que são aceitas as nomenclaturas D ou DH para designar o medicamento preparado na escala decimal;</w:t>
      </w:r>
    </w:p>
    <w:p w:rsidR="00467044" w:rsidRPr="00287815" w:rsidRDefault="00467044" w:rsidP="00287815">
      <w:pPr>
        <w:spacing w:before="0" w:beforeAutospacing="0" w:after="200" w:afterAutospacing="0"/>
        <w:ind w:left="57" w:firstLine="567"/>
        <w:jc w:val="both"/>
        <w:divId w:val="1209952482"/>
      </w:pPr>
      <w:r w:rsidRPr="00287815">
        <w:t>considerando a Farmacopéia Homeopática Americana (HPUS), revisão dezembro 2005;</w:t>
      </w:r>
    </w:p>
    <w:p w:rsidR="00467044" w:rsidRPr="00287815" w:rsidRDefault="00467044" w:rsidP="00287815">
      <w:pPr>
        <w:pStyle w:val="Corpodetexto2"/>
        <w:spacing w:before="0" w:beforeAutospacing="0" w:after="200" w:afterAutospacing="0" w:line="240" w:lineRule="auto"/>
        <w:ind w:left="57"/>
        <w:jc w:val="both"/>
        <w:divId w:val="1209952482"/>
      </w:pPr>
      <w:r w:rsidRPr="00287815">
        <w:t>considerando os compêndios e referências reconhecidas pela Anvisa para a medicamentos dinamizados, resolve:</w:t>
      </w:r>
    </w:p>
    <w:p w:rsidR="00467044" w:rsidRPr="00287815" w:rsidRDefault="00467044" w:rsidP="00287815">
      <w:pPr>
        <w:pStyle w:val="Corpodetexto3"/>
        <w:spacing w:before="0" w:beforeAutospacing="0" w:after="200" w:afterAutospacing="0"/>
        <w:ind w:left="57" w:firstLine="567"/>
        <w:jc w:val="both"/>
        <w:divId w:val="1209952482"/>
        <w:rPr>
          <w:sz w:val="24"/>
          <w:szCs w:val="24"/>
        </w:rPr>
      </w:pPr>
      <w:r w:rsidRPr="00287815">
        <w:rPr>
          <w:sz w:val="24"/>
          <w:szCs w:val="24"/>
        </w:rPr>
        <w:t>Art.</w:t>
      </w:r>
      <w:r w:rsidRPr="00287815">
        <w:rPr>
          <w:caps/>
          <w:sz w:val="24"/>
          <w:szCs w:val="24"/>
        </w:rPr>
        <w:t xml:space="preserve"> 1</w:t>
      </w:r>
      <w:r w:rsidRPr="00287815">
        <w:rPr>
          <w:sz w:val="24"/>
          <w:szCs w:val="24"/>
        </w:rPr>
        <w:t>º Determinar a publicação da “Tabela de Potências para Registro e Notificação de Medicamentos Dinamizados”, na forma do Anexo I.</w:t>
      </w:r>
    </w:p>
    <w:p w:rsidR="00467044" w:rsidRPr="00287815" w:rsidRDefault="00467044" w:rsidP="00287815">
      <w:pPr>
        <w:pStyle w:val="Corpodetexto3"/>
        <w:spacing w:before="0" w:beforeAutospacing="0" w:after="200" w:afterAutospacing="0"/>
        <w:ind w:left="57" w:firstLine="567"/>
        <w:jc w:val="both"/>
        <w:divId w:val="1209952482"/>
        <w:rPr>
          <w:sz w:val="24"/>
          <w:szCs w:val="24"/>
        </w:rPr>
      </w:pPr>
      <w:r w:rsidRPr="00287815">
        <w:rPr>
          <w:sz w:val="24"/>
          <w:szCs w:val="24"/>
        </w:rPr>
        <w:t>Parágrafo único. O Anexo I encontra-se disponibilizado  no site da ANVISA.</w:t>
      </w:r>
    </w:p>
    <w:p w:rsidR="00467044" w:rsidRPr="00287815" w:rsidRDefault="00467044" w:rsidP="00287815">
      <w:pPr>
        <w:pStyle w:val="Corpodetexto3"/>
        <w:spacing w:before="0" w:beforeAutospacing="0" w:after="200" w:afterAutospacing="0"/>
        <w:ind w:left="57" w:firstLine="567"/>
        <w:jc w:val="both"/>
        <w:divId w:val="1209952482"/>
        <w:rPr>
          <w:sz w:val="24"/>
          <w:szCs w:val="24"/>
        </w:rPr>
      </w:pPr>
      <w:r w:rsidRPr="00287815">
        <w:rPr>
          <w:sz w:val="24"/>
          <w:szCs w:val="24"/>
        </w:rPr>
        <w:t>Art. 2° Para fins exclusivo de aplicação da Tabela do Anexo I considera-se a tabela de equivalência entre as concentrações das dinamizações nas escalas decimal e centesimal, conforme o Anexo II.</w:t>
      </w:r>
    </w:p>
    <w:p w:rsidR="00467044" w:rsidRPr="00287815" w:rsidRDefault="00467044" w:rsidP="00287815">
      <w:pPr>
        <w:pStyle w:val="Corpodetexto3"/>
        <w:spacing w:before="0" w:beforeAutospacing="0" w:after="200" w:afterAutospacing="0"/>
        <w:ind w:left="57" w:firstLine="567"/>
        <w:jc w:val="both"/>
        <w:divId w:val="1209952482"/>
        <w:rPr>
          <w:sz w:val="24"/>
          <w:szCs w:val="24"/>
        </w:rPr>
      </w:pPr>
      <w:r w:rsidRPr="00287815">
        <w:rPr>
          <w:sz w:val="24"/>
          <w:szCs w:val="24"/>
        </w:rPr>
        <w:t>Parágrafo único. A equivalência não significa interconversão entre escalas conforme preconizado na Farmacopéia Homeopática Brasileira</w:t>
      </w:r>
    </w:p>
    <w:p w:rsidR="00467044" w:rsidRDefault="00467044" w:rsidP="00287815">
      <w:pPr>
        <w:pStyle w:val="Corpodetexto3"/>
        <w:spacing w:before="0" w:beforeAutospacing="0" w:after="200" w:afterAutospacing="0"/>
        <w:ind w:left="57" w:firstLine="567"/>
        <w:jc w:val="both"/>
        <w:divId w:val="1209952482"/>
        <w:rPr>
          <w:sz w:val="24"/>
          <w:szCs w:val="24"/>
        </w:rPr>
      </w:pPr>
      <w:r w:rsidRPr="00287815">
        <w:rPr>
          <w:sz w:val="24"/>
          <w:szCs w:val="24"/>
        </w:rPr>
        <w:t>Art. 3° Esta Instrução Normativa entra em vigor na data de publicação</w:t>
      </w:r>
    </w:p>
    <w:p w:rsidR="00467044" w:rsidRDefault="00467044" w:rsidP="00287815">
      <w:pPr>
        <w:pStyle w:val="Ttulo2"/>
        <w:spacing w:before="0" w:beforeAutospacing="0" w:after="200" w:afterAutospacing="0"/>
        <w:ind w:left="57"/>
        <w:divId w:val="1209952482"/>
        <w:rPr>
          <w:rFonts w:ascii="Times New Roman" w:hAnsi="Times New Roman" w:cs="Times New Roman"/>
          <w:sz w:val="24"/>
          <w:szCs w:val="24"/>
        </w:rPr>
      </w:pPr>
      <w:r w:rsidRPr="00287815">
        <w:rPr>
          <w:rFonts w:ascii="Times New Roman" w:hAnsi="Times New Roman" w:cs="Times New Roman"/>
          <w:sz w:val="24"/>
          <w:szCs w:val="24"/>
        </w:rPr>
        <w:t>DIRCEU RAPOSO DE MELLO</w:t>
      </w:r>
    </w:p>
    <w:p w:rsidR="00467044" w:rsidRPr="00287815" w:rsidRDefault="00467044" w:rsidP="00287815">
      <w:pPr>
        <w:pStyle w:val="Corpodetexto3"/>
        <w:spacing w:before="0" w:beforeAutospacing="0" w:after="200" w:afterAutospacing="0"/>
        <w:ind w:left="57"/>
        <w:jc w:val="center"/>
        <w:divId w:val="1209952482"/>
        <w:rPr>
          <w:sz w:val="24"/>
          <w:szCs w:val="24"/>
        </w:rPr>
      </w:pPr>
      <w:r w:rsidRPr="00287815">
        <w:rPr>
          <w:sz w:val="24"/>
          <w:szCs w:val="24"/>
        </w:rPr>
        <w:lastRenderedPageBreak/>
        <w:t>Anexo II</w:t>
      </w:r>
    </w:p>
    <w:p w:rsidR="00467044" w:rsidRPr="00287815" w:rsidRDefault="00467044" w:rsidP="00287815">
      <w:pPr>
        <w:pStyle w:val="Corpodetexto3"/>
        <w:spacing w:before="0" w:beforeAutospacing="0" w:after="200" w:afterAutospacing="0"/>
        <w:ind w:left="57"/>
        <w:jc w:val="both"/>
        <w:divId w:val="1209952482"/>
        <w:rPr>
          <w:sz w:val="24"/>
          <w:szCs w:val="24"/>
        </w:rPr>
      </w:pPr>
      <w:r w:rsidRPr="00287815">
        <w:rPr>
          <w:sz w:val="24"/>
          <w:szCs w:val="24"/>
        </w:rPr>
        <w:t>Tabela de equivalência:</w:t>
      </w:r>
    </w:p>
    <w:tbl>
      <w:tblPr>
        <w:tblW w:w="67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53"/>
        <w:gridCol w:w="3317"/>
      </w:tblGrid>
      <w:tr w:rsidR="00467044" w:rsidRPr="00287815" w:rsidTr="00287815">
        <w:tblPrEx>
          <w:tblCellMar>
            <w:top w:w="0" w:type="dxa"/>
            <w:bottom w:w="0" w:type="dxa"/>
          </w:tblCellMar>
        </w:tblPrEx>
        <w:trPr>
          <w:divId w:val="1209952482"/>
          <w:jc w:val="center"/>
        </w:trPr>
        <w:tc>
          <w:tcPr>
            <w:tcW w:w="3453" w:type="dxa"/>
          </w:tcPr>
          <w:p w:rsidR="00467044" w:rsidRPr="00287815" w:rsidRDefault="00467044" w:rsidP="00287815">
            <w:pPr>
              <w:pStyle w:val="Corpodetexto3"/>
              <w:spacing w:before="0" w:beforeAutospacing="0" w:after="200" w:afterAutospacing="0"/>
              <w:ind w:left="57"/>
              <w:jc w:val="both"/>
              <w:rPr>
                <w:sz w:val="24"/>
                <w:szCs w:val="24"/>
              </w:rPr>
            </w:pPr>
            <w:r w:rsidRPr="00287815">
              <w:rPr>
                <w:sz w:val="24"/>
                <w:szCs w:val="24"/>
              </w:rPr>
              <w:t>D1 a D3</w:t>
            </w:r>
          </w:p>
        </w:tc>
        <w:tc>
          <w:tcPr>
            <w:tcW w:w="3317" w:type="dxa"/>
          </w:tcPr>
          <w:p w:rsidR="00467044" w:rsidRPr="00287815" w:rsidRDefault="00467044" w:rsidP="00287815">
            <w:pPr>
              <w:pStyle w:val="Corpodetexto3"/>
              <w:spacing w:before="0" w:beforeAutospacing="0" w:after="200" w:afterAutospacing="0"/>
              <w:ind w:left="57"/>
              <w:jc w:val="both"/>
              <w:rPr>
                <w:sz w:val="24"/>
                <w:szCs w:val="24"/>
                <w:lang w:val="en-US"/>
              </w:rPr>
            </w:pPr>
            <w:r w:rsidRPr="00287815">
              <w:rPr>
                <w:sz w:val="24"/>
                <w:szCs w:val="24"/>
                <w:lang w:val="en-US"/>
              </w:rPr>
              <w:t>1CH</w:t>
            </w:r>
          </w:p>
        </w:tc>
      </w:tr>
      <w:tr w:rsidR="00467044" w:rsidRPr="00287815" w:rsidTr="00287815">
        <w:tblPrEx>
          <w:tblCellMar>
            <w:top w:w="0" w:type="dxa"/>
            <w:bottom w:w="0" w:type="dxa"/>
          </w:tblCellMar>
        </w:tblPrEx>
        <w:trPr>
          <w:divId w:val="1209952482"/>
          <w:jc w:val="center"/>
        </w:trPr>
        <w:tc>
          <w:tcPr>
            <w:tcW w:w="3453" w:type="dxa"/>
          </w:tcPr>
          <w:p w:rsidR="00467044" w:rsidRPr="00287815" w:rsidRDefault="00467044" w:rsidP="00287815">
            <w:pPr>
              <w:pStyle w:val="Corpodetexto3"/>
              <w:spacing w:before="0" w:beforeAutospacing="0" w:after="200" w:afterAutospacing="0"/>
              <w:ind w:left="57"/>
              <w:jc w:val="both"/>
              <w:rPr>
                <w:sz w:val="24"/>
                <w:szCs w:val="24"/>
                <w:lang w:val="en-US"/>
              </w:rPr>
            </w:pPr>
            <w:r w:rsidRPr="00287815">
              <w:rPr>
                <w:sz w:val="24"/>
                <w:szCs w:val="24"/>
                <w:lang w:val="en-US"/>
              </w:rPr>
              <w:t>D4 a D5</w:t>
            </w:r>
          </w:p>
        </w:tc>
        <w:tc>
          <w:tcPr>
            <w:tcW w:w="3317" w:type="dxa"/>
          </w:tcPr>
          <w:p w:rsidR="00467044" w:rsidRPr="00287815" w:rsidRDefault="00467044" w:rsidP="00287815">
            <w:pPr>
              <w:pStyle w:val="Corpodetexto3"/>
              <w:spacing w:before="0" w:beforeAutospacing="0" w:after="200" w:afterAutospacing="0"/>
              <w:ind w:left="57"/>
              <w:jc w:val="both"/>
              <w:rPr>
                <w:sz w:val="24"/>
                <w:szCs w:val="24"/>
                <w:lang w:val="en-US"/>
              </w:rPr>
            </w:pPr>
            <w:r w:rsidRPr="00287815">
              <w:rPr>
                <w:sz w:val="24"/>
                <w:szCs w:val="24"/>
                <w:lang w:val="en-US"/>
              </w:rPr>
              <w:t>2CH</w:t>
            </w:r>
          </w:p>
        </w:tc>
      </w:tr>
      <w:tr w:rsidR="00467044" w:rsidRPr="00287815" w:rsidTr="00287815">
        <w:tblPrEx>
          <w:tblCellMar>
            <w:top w:w="0" w:type="dxa"/>
            <w:bottom w:w="0" w:type="dxa"/>
          </w:tblCellMar>
        </w:tblPrEx>
        <w:trPr>
          <w:divId w:val="1209952482"/>
          <w:jc w:val="center"/>
        </w:trPr>
        <w:tc>
          <w:tcPr>
            <w:tcW w:w="3453" w:type="dxa"/>
          </w:tcPr>
          <w:p w:rsidR="00467044" w:rsidRPr="00287815" w:rsidRDefault="00467044" w:rsidP="00287815">
            <w:pPr>
              <w:pStyle w:val="Corpodetexto3"/>
              <w:spacing w:before="0" w:beforeAutospacing="0" w:after="200" w:afterAutospacing="0"/>
              <w:ind w:left="57"/>
              <w:jc w:val="both"/>
              <w:rPr>
                <w:sz w:val="24"/>
                <w:szCs w:val="24"/>
                <w:lang w:val="en-US"/>
              </w:rPr>
            </w:pPr>
            <w:r w:rsidRPr="00287815">
              <w:rPr>
                <w:sz w:val="24"/>
                <w:szCs w:val="24"/>
                <w:lang w:val="en-US"/>
              </w:rPr>
              <w:t>D6 a D7</w:t>
            </w:r>
          </w:p>
        </w:tc>
        <w:tc>
          <w:tcPr>
            <w:tcW w:w="3317" w:type="dxa"/>
          </w:tcPr>
          <w:p w:rsidR="00467044" w:rsidRPr="00287815" w:rsidRDefault="00467044" w:rsidP="00287815">
            <w:pPr>
              <w:pStyle w:val="Corpodetexto3"/>
              <w:spacing w:before="0" w:beforeAutospacing="0" w:after="200" w:afterAutospacing="0"/>
              <w:ind w:left="57"/>
              <w:jc w:val="both"/>
              <w:rPr>
                <w:sz w:val="24"/>
                <w:szCs w:val="24"/>
                <w:lang w:val="en-US"/>
              </w:rPr>
            </w:pPr>
            <w:r w:rsidRPr="00287815">
              <w:rPr>
                <w:sz w:val="24"/>
                <w:szCs w:val="24"/>
                <w:lang w:val="en-US"/>
              </w:rPr>
              <w:t>3CH</w:t>
            </w:r>
          </w:p>
        </w:tc>
      </w:tr>
      <w:tr w:rsidR="00467044" w:rsidRPr="00287815" w:rsidTr="00287815">
        <w:tblPrEx>
          <w:tblCellMar>
            <w:top w:w="0" w:type="dxa"/>
            <w:bottom w:w="0" w:type="dxa"/>
          </w:tblCellMar>
        </w:tblPrEx>
        <w:trPr>
          <w:divId w:val="1209952482"/>
          <w:jc w:val="center"/>
        </w:trPr>
        <w:tc>
          <w:tcPr>
            <w:tcW w:w="3453" w:type="dxa"/>
          </w:tcPr>
          <w:p w:rsidR="00467044" w:rsidRPr="00287815" w:rsidRDefault="00467044" w:rsidP="00287815">
            <w:pPr>
              <w:pStyle w:val="Corpodetexto3"/>
              <w:spacing w:before="0" w:beforeAutospacing="0" w:after="200" w:afterAutospacing="0"/>
              <w:ind w:left="57"/>
              <w:jc w:val="both"/>
              <w:rPr>
                <w:sz w:val="24"/>
                <w:szCs w:val="24"/>
                <w:lang w:val="en-US"/>
              </w:rPr>
            </w:pPr>
            <w:r w:rsidRPr="00287815">
              <w:rPr>
                <w:sz w:val="24"/>
                <w:szCs w:val="24"/>
                <w:lang w:val="en-US"/>
              </w:rPr>
              <w:t>D8 a D9</w:t>
            </w:r>
          </w:p>
        </w:tc>
        <w:tc>
          <w:tcPr>
            <w:tcW w:w="3317" w:type="dxa"/>
          </w:tcPr>
          <w:p w:rsidR="00467044" w:rsidRPr="00287815" w:rsidRDefault="00467044" w:rsidP="00287815">
            <w:pPr>
              <w:pStyle w:val="Corpodetexto3"/>
              <w:spacing w:before="0" w:beforeAutospacing="0" w:after="200" w:afterAutospacing="0"/>
              <w:ind w:left="57"/>
              <w:jc w:val="both"/>
              <w:rPr>
                <w:sz w:val="24"/>
                <w:szCs w:val="24"/>
                <w:lang w:val="en-US"/>
              </w:rPr>
            </w:pPr>
            <w:r w:rsidRPr="00287815">
              <w:rPr>
                <w:sz w:val="24"/>
                <w:szCs w:val="24"/>
                <w:lang w:val="en-US"/>
              </w:rPr>
              <w:t>4CH</w:t>
            </w:r>
          </w:p>
        </w:tc>
      </w:tr>
      <w:tr w:rsidR="00467044" w:rsidRPr="00287815" w:rsidTr="00287815">
        <w:tblPrEx>
          <w:tblCellMar>
            <w:top w:w="0" w:type="dxa"/>
            <w:bottom w:w="0" w:type="dxa"/>
          </w:tblCellMar>
        </w:tblPrEx>
        <w:trPr>
          <w:divId w:val="1209952482"/>
          <w:jc w:val="center"/>
        </w:trPr>
        <w:tc>
          <w:tcPr>
            <w:tcW w:w="3453" w:type="dxa"/>
          </w:tcPr>
          <w:p w:rsidR="00467044" w:rsidRPr="00287815" w:rsidRDefault="00467044" w:rsidP="00287815">
            <w:pPr>
              <w:pStyle w:val="Corpodetexto3"/>
              <w:spacing w:before="0" w:beforeAutospacing="0" w:after="200" w:afterAutospacing="0"/>
              <w:ind w:left="57"/>
              <w:jc w:val="both"/>
              <w:rPr>
                <w:sz w:val="24"/>
                <w:szCs w:val="24"/>
                <w:lang w:val="en-US"/>
              </w:rPr>
            </w:pPr>
            <w:r w:rsidRPr="00287815">
              <w:rPr>
                <w:sz w:val="24"/>
                <w:szCs w:val="24"/>
                <w:lang w:val="en-US"/>
              </w:rPr>
              <w:t>D10 a D11</w:t>
            </w:r>
          </w:p>
        </w:tc>
        <w:tc>
          <w:tcPr>
            <w:tcW w:w="3317" w:type="dxa"/>
          </w:tcPr>
          <w:p w:rsidR="00467044" w:rsidRPr="00287815" w:rsidRDefault="00467044" w:rsidP="00287815">
            <w:pPr>
              <w:pStyle w:val="Corpodetexto3"/>
              <w:spacing w:before="0" w:beforeAutospacing="0" w:after="200" w:afterAutospacing="0"/>
              <w:ind w:left="57"/>
              <w:jc w:val="both"/>
              <w:rPr>
                <w:sz w:val="24"/>
                <w:szCs w:val="24"/>
                <w:lang w:val="en-US"/>
              </w:rPr>
            </w:pPr>
            <w:r w:rsidRPr="00287815">
              <w:rPr>
                <w:sz w:val="24"/>
                <w:szCs w:val="24"/>
                <w:lang w:val="en-US"/>
              </w:rPr>
              <w:t>5CH</w:t>
            </w:r>
          </w:p>
        </w:tc>
      </w:tr>
      <w:tr w:rsidR="00467044" w:rsidRPr="00287815" w:rsidTr="00287815">
        <w:tblPrEx>
          <w:tblCellMar>
            <w:top w:w="0" w:type="dxa"/>
            <w:bottom w:w="0" w:type="dxa"/>
          </w:tblCellMar>
        </w:tblPrEx>
        <w:trPr>
          <w:divId w:val="1209952482"/>
          <w:jc w:val="center"/>
        </w:trPr>
        <w:tc>
          <w:tcPr>
            <w:tcW w:w="3453" w:type="dxa"/>
          </w:tcPr>
          <w:p w:rsidR="00467044" w:rsidRPr="00287815" w:rsidRDefault="00467044" w:rsidP="00287815">
            <w:pPr>
              <w:pStyle w:val="Corpodetexto3"/>
              <w:spacing w:before="0" w:beforeAutospacing="0" w:after="200" w:afterAutospacing="0"/>
              <w:ind w:left="57"/>
              <w:jc w:val="both"/>
              <w:rPr>
                <w:sz w:val="24"/>
                <w:szCs w:val="24"/>
                <w:lang w:val="en-US"/>
              </w:rPr>
            </w:pPr>
            <w:r w:rsidRPr="00287815">
              <w:rPr>
                <w:sz w:val="24"/>
                <w:szCs w:val="24"/>
                <w:lang w:val="en-US"/>
              </w:rPr>
              <w:t>D12 a D20</w:t>
            </w:r>
          </w:p>
        </w:tc>
        <w:tc>
          <w:tcPr>
            <w:tcW w:w="3317" w:type="dxa"/>
          </w:tcPr>
          <w:p w:rsidR="00467044" w:rsidRPr="00287815" w:rsidRDefault="00467044" w:rsidP="00287815">
            <w:pPr>
              <w:pStyle w:val="Corpodetexto3"/>
              <w:spacing w:before="0" w:beforeAutospacing="0" w:after="200" w:afterAutospacing="0"/>
              <w:ind w:left="57"/>
              <w:jc w:val="both"/>
              <w:rPr>
                <w:sz w:val="24"/>
                <w:szCs w:val="24"/>
              </w:rPr>
            </w:pPr>
            <w:r w:rsidRPr="00287815">
              <w:rPr>
                <w:sz w:val="24"/>
                <w:szCs w:val="24"/>
              </w:rPr>
              <w:t>6CH</w:t>
            </w:r>
          </w:p>
        </w:tc>
      </w:tr>
    </w:tbl>
    <w:p w:rsidR="00A53197" w:rsidRPr="00287815" w:rsidRDefault="00A53197" w:rsidP="00287815">
      <w:pPr>
        <w:spacing w:before="0" w:beforeAutospacing="0" w:after="200" w:afterAutospacing="0"/>
        <w:ind w:left="57"/>
        <w:jc w:val="both"/>
        <w:divId w:val="1209952483"/>
      </w:pPr>
    </w:p>
    <w:sectPr w:rsidR="00A53197" w:rsidRPr="0028781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AA7" w:rsidRDefault="00FA5AA7" w:rsidP="00287815">
      <w:pPr>
        <w:spacing w:before="0" w:after="0"/>
      </w:pPr>
      <w:r>
        <w:separator/>
      </w:r>
    </w:p>
  </w:endnote>
  <w:endnote w:type="continuationSeparator" w:id="0">
    <w:p w:rsidR="00FA5AA7" w:rsidRDefault="00FA5AA7" w:rsidP="002878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815" w:rsidRPr="0018049F" w:rsidRDefault="00287815" w:rsidP="00287815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AA7" w:rsidRDefault="00FA5AA7" w:rsidP="00287815">
      <w:pPr>
        <w:spacing w:before="0" w:after="0"/>
      </w:pPr>
      <w:r>
        <w:separator/>
      </w:r>
    </w:p>
  </w:footnote>
  <w:footnote w:type="continuationSeparator" w:id="0">
    <w:p w:rsidR="00FA5AA7" w:rsidRDefault="00FA5AA7" w:rsidP="002878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815" w:rsidRPr="0018049F" w:rsidRDefault="00FA5AA7" w:rsidP="0028781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FA5AA7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87815" w:rsidRPr="0018049F" w:rsidRDefault="00287815" w:rsidP="0028781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287815" w:rsidRDefault="00287815" w:rsidP="0028781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287815" w:rsidRDefault="00287815" w:rsidP="0028781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E57A5"/>
    <w:rsid w:val="000F7751"/>
    <w:rsid w:val="001136D5"/>
    <w:rsid w:val="0018049F"/>
    <w:rsid w:val="00287815"/>
    <w:rsid w:val="002A6BAF"/>
    <w:rsid w:val="00467044"/>
    <w:rsid w:val="00524060"/>
    <w:rsid w:val="005D13BD"/>
    <w:rsid w:val="00652E8A"/>
    <w:rsid w:val="00771958"/>
    <w:rsid w:val="008B7BC0"/>
    <w:rsid w:val="008D770F"/>
    <w:rsid w:val="0094591E"/>
    <w:rsid w:val="009A3BE8"/>
    <w:rsid w:val="009D4C4B"/>
    <w:rsid w:val="009F4005"/>
    <w:rsid w:val="00A53197"/>
    <w:rsid w:val="00AF43E7"/>
    <w:rsid w:val="00C95A0B"/>
    <w:rsid w:val="00DF7C19"/>
    <w:rsid w:val="00E30878"/>
    <w:rsid w:val="00FA5AA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67044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467044"/>
    <w:rPr>
      <w:rFonts w:eastAsiaTheme="minorEastAsia" w:cs="Times New Roman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67044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467044"/>
    <w:rPr>
      <w:rFonts w:eastAsiaTheme="minorEastAsia" w:cs="Times New Roman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287815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287815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287815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287815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87815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952484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248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1760</Characters>
  <Application>Microsoft Office Word</Application>
  <DocSecurity>0</DocSecurity>
  <Lines>14</Lines>
  <Paragraphs>4</Paragraphs>
  <ScaleCrop>false</ScaleCrop>
  <Company>ANVISA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