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3FB" w:rsidRPr="002E23FB" w:rsidRDefault="002E23FB" w:rsidP="002E23FB">
      <w:pPr>
        <w:spacing w:before="100" w:beforeAutospacing="1" w:after="100" w:afterAutospacing="1" w:line="240" w:lineRule="auto"/>
        <w:jc w:val="center"/>
        <w:outlineLvl w:val="0"/>
        <w:rPr>
          <w:rFonts w:ascii="Times New Roman" w:eastAsiaTheme="minorEastAsia" w:hAnsi="Times New Roman" w:cs="Times New Roman"/>
          <w:b/>
          <w:bCs/>
          <w:caps/>
          <w:color w:val="000000"/>
          <w:kern w:val="36"/>
          <w:sz w:val="24"/>
          <w:szCs w:val="24"/>
          <w:lang w:eastAsia="pt-BR"/>
        </w:rPr>
      </w:pPr>
      <w:r w:rsidRPr="002E23FB">
        <w:rPr>
          <w:rFonts w:ascii="Times New Roman" w:eastAsiaTheme="minorEastAsia" w:hAnsi="Times New Roman" w:cs="Times New Roman"/>
          <w:b/>
          <w:bCs/>
          <w:caps/>
          <w:color w:val="000000"/>
          <w:kern w:val="36"/>
          <w:sz w:val="24"/>
          <w:szCs w:val="24"/>
          <w:lang w:eastAsia="pt-BR"/>
        </w:rPr>
        <w:t xml:space="preserve">INSTRUÇÃO NORMATIVA Nº 7, DE 31 DE OUTUBRO DE </w:t>
      </w:r>
      <w:proofErr w:type="gramStart"/>
      <w:r w:rsidRPr="002E23FB">
        <w:rPr>
          <w:rFonts w:ascii="Times New Roman" w:eastAsiaTheme="minorEastAsia" w:hAnsi="Times New Roman" w:cs="Times New Roman"/>
          <w:b/>
          <w:bCs/>
          <w:caps/>
          <w:color w:val="000000"/>
          <w:kern w:val="36"/>
          <w:sz w:val="24"/>
          <w:szCs w:val="24"/>
          <w:lang w:eastAsia="pt-BR"/>
        </w:rPr>
        <w:t>2013</w:t>
      </w:r>
      <w:proofErr w:type="gramEnd"/>
    </w:p>
    <w:p w:rsidR="002E23FB" w:rsidRPr="002E23FB" w:rsidRDefault="002E23FB" w:rsidP="002E23FB">
      <w:pPr>
        <w:spacing w:before="100" w:beforeAutospacing="1" w:after="100" w:afterAutospacing="1" w:line="240" w:lineRule="auto"/>
        <w:jc w:val="center"/>
        <w:rPr>
          <w:rFonts w:ascii="Times New Roman" w:eastAsiaTheme="minorEastAsia" w:hAnsi="Times New Roman" w:cs="Times New Roman"/>
          <w:b/>
          <w:color w:val="0000FF"/>
          <w:sz w:val="24"/>
          <w:szCs w:val="24"/>
          <w:lang w:eastAsia="pt-BR"/>
        </w:rPr>
      </w:pPr>
      <w:r w:rsidRPr="002E23FB">
        <w:rPr>
          <w:rFonts w:ascii="Times New Roman" w:eastAsiaTheme="minorEastAsia" w:hAnsi="Times New Roman" w:cs="Times New Roman"/>
          <w:b/>
          <w:color w:val="0000FF"/>
          <w:sz w:val="24"/>
          <w:szCs w:val="24"/>
          <w:lang w:eastAsia="pt-BR"/>
        </w:rPr>
        <w:t xml:space="preserve">Publicada em DOU nº 213, de 1º de novembro de </w:t>
      </w:r>
      <w:proofErr w:type="gramStart"/>
      <w:r w:rsidRPr="002E23FB">
        <w:rPr>
          <w:rFonts w:ascii="Times New Roman" w:eastAsiaTheme="minorEastAsia" w:hAnsi="Times New Roman" w:cs="Times New Roman"/>
          <w:b/>
          <w:color w:val="0000FF"/>
          <w:sz w:val="24"/>
          <w:szCs w:val="24"/>
          <w:lang w:eastAsia="pt-BR"/>
        </w:rPr>
        <w:t>2013</w:t>
      </w:r>
      <w:proofErr w:type="gramEnd"/>
    </w:p>
    <w:p w:rsidR="002E23FB" w:rsidRPr="002E23FB" w:rsidRDefault="002E23FB" w:rsidP="002E23FB">
      <w:pPr>
        <w:spacing w:before="100" w:beforeAutospacing="1" w:after="100" w:afterAutospacing="1" w:line="240" w:lineRule="auto"/>
        <w:ind w:left="3969"/>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Altera Instrução Normativa n°</w:t>
      </w:r>
      <w:r w:rsidR="00A270FC">
        <w:rPr>
          <w:rFonts w:ascii="Times New Roman" w:eastAsiaTheme="minorEastAsia" w:hAnsi="Times New Roman" w:cs="Times New Roman"/>
          <w:sz w:val="24"/>
          <w:szCs w:val="24"/>
          <w:lang w:eastAsia="pt-BR"/>
        </w:rPr>
        <w:t xml:space="preserve"> </w:t>
      </w:r>
      <w:r w:rsidRPr="002E23FB">
        <w:rPr>
          <w:rFonts w:ascii="Times New Roman" w:eastAsiaTheme="minorEastAsia" w:hAnsi="Times New Roman" w:cs="Times New Roman"/>
          <w:sz w:val="24"/>
          <w:szCs w:val="24"/>
          <w:lang w:eastAsia="pt-BR"/>
        </w:rPr>
        <w:t>1</w:t>
      </w:r>
      <w:bookmarkStart w:id="0" w:name="_GoBack"/>
      <w:bookmarkEnd w:id="0"/>
      <w:r w:rsidRPr="002E23FB">
        <w:rPr>
          <w:rFonts w:ascii="Times New Roman" w:eastAsiaTheme="minorEastAsia" w:hAnsi="Times New Roman" w:cs="Times New Roman"/>
          <w:sz w:val="24"/>
          <w:szCs w:val="24"/>
          <w:lang w:eastAsia="pt-BR"/>
        </w:rPr>
        <w:t>2, de 12 de Novembro de 2010 que fixa as alçadas decisórias e define as diretrizes para descentralização de decisões no âmbito da competência da Agência Naci</w:t>
      </w:r>
      <w:r w:rsidR="00A270FC">
        <w:rPr>
          <w:rFonts w:ascii="Times New Roman" w:eastAsiaTheme="minorEastAsia" w:hAnsi="Times New Roman" w:cs="Times New Roman"/>
          <w:sz w:val="24"/>
          <w:szCs w:val="24"/>
          <w:lang w:eastAsia="pt-BR"/>
        </w:rPr>
        <w:t xml:space="preserve">onal de Vigilância Sanitária - </w:t>
      </w:r>
      <w:r w:rsidRPr="002E23FB">
        <w:rPr>
          <w:rFonts w:ascii="Times New Roman" w:eastAsiaTheme="minorEastAsia" w:hAnsi="Times New Roman" w:cs="Times New Roman"/>
          <w:sz w:val="24"/>
          <w:szCs w:val="24"/>
          <w:lang w:eastAsia="pt-BR"/>
        </w:rPr>
        <w:t>ANVISA, relativas à aquisição, alienação e locação de bens, e contratação de obras e serviços decorrentes do processo de licitação e dos processos de dispensa e inexigibilidade de licitação.</w:t>
      </w:r>
    </w:p>
    <w:p w:rsidR="002E23FB" w:rsidRPr="002E23FB" w:rsidRDefault="002E23FB" w:rsidP="002E23FB">
      <w:pPr>
        <w:spacing w:before="100" w:beforeAutospacing="1" w:after="100" w:afterAutospacing="1" w:line="240" w:lineRule="auto"/>
        <w:ind w:firstLine="567"/>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b/>
          <w:sz w:val="24"/>
          <w:szCs w:val="24"/>
          <w:lang w:eastAsia="pt-BR"/>
        </w:rPr>
        <w:t>O Diretor-Presidente da Agência Nacional de Vigilância Sanitária</w:t>
      </w:r>
      <w:r w:rsidRPr="002E23FB">
        <w:rPr>
          <w:rFonts w:ascii="Times New Roman" w:eastAsiaTheme="minorEastAsia" w:hAnsi="Times New Roman" w:cs="Times New Roman"/>
          <w:sz w:val="24"/>
          <w:szCs w:val="24"/>
          <w:lang w:eastAsia="pt-BR"/>
        </w:rPr>
        <w:t>, no uso das atribuições que lhe conferem o Decreto de recondução, de 11 de outubro de 2011, da Presidenta da República, publicado no DOU de 13 de outubro de 2011 e os incisos VII e X do art. 16 da Lei nº 9.782, de 29 de janeiro de 1999, tendo em vista o que dispõe o art. 2º do Decreto nº 7.689, de 02 de março de 2012, o inciso IX do art. 4º, art. 5º e inciso IX do art. 6º da Portaria GM/MS nº 1.338, de 28 de junho de 2012, o disposto no inciso XIII do art. 13 do Regulamento da ANVISA aprovado pelo Decreto nº 3.029, de 16 de abril de 1999, aliado ao que dispõem os incisos, VII, VIII, IX e X do art. 16 e o inciso II do art. 55 do Regimento Interno, aprovado nos termos do Anexo I, da Portaria n. 354, de 11 de agosto de 2006, republicado no DOU de 21 de agosto de 2006, RESOLVE:</w:t>
      </w:r>
    </w:p>
    <w:p w:rsidR="002E23FB" w:rsidRPr="002E23FB" w:rsidRDefault="002E23FB" w:rsidP="002E23FB">
      <w:pPr>
        <w:spacing w:before="100" w:beforeAutospacing="1" w:after="100" w:afterAutospacing="1" w:line="240" w:lineRule="auto"/>
        <w:ind w:firstLine="567"/>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 1º O art. 3º da Instrução Normativa nº 12, de 12 de novembro de 2010, passa a vigorar com a seguinte redação:</w:t>
      </w:r>
    </w:p>
    <w:p w:rsidR="002E23FB" w:rsidRPr="002E23FB" w:rsidRDefault="002E23FB" w:rsidP="002E23FB">
      <w:pPr>
        <w:spacing w:before="100" w:beforeAutospacing="1" w:after="100" w:afterAutospacing="1" w:line="240" w:lineRule="auto"/>
        <w:ind w:left="709" w:hanging="4"/>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 xml:space="preserve">“Art.3° Os limites de alçada para autorizar a deflagração do processo de licitação, visando </w:t>
      </w:r>
      <w:proofErr w:type="gramStart"/>
      <w:r w:rsidRPr="002E23FB">
        <w:rPr>
          <w:rFonts w:ascii="Times New Roman" w:eastAsiaTheme="minorEastAsia" w:hAnsi="Times New Roman" w:cs="Times New Roman"/>
          <w:sz w:val="24"/>
          <w:szCs w:val="24"/>
          <w:lang w:eastAsia="pt-BR"/>
        </w:rPr>
        <w:t>a</w:t>
      </w:r>
      <w:proofErr w:type="gramEnd"/>
      <w:r w:rsidRPr="002E23FB">
        <w:rPr>
          <w:rFonts w:ascii="Times New Roman" w:eastAsiaTheme="minorEastAsia" w:hAnsi="Times New Roman" w:cs="Times New Roman"/>
          <w:sz w:val="24"/>
          <w:szCs w:val="24"/>
          <w:lang w:eastAsia="pt-BR"/>
        </w:rPr>
        <w:t xml:space="preserve"> aquisição, alienação e locação de bens e a contratação de obras e serviços, com valores estimados pela autoridade demandante, assim como para possíveis prorrogações contratuais são os seguintes:</w:t>
      </w:r>
    </w:p>
    <w:p w:rsidR="002E23FB" w:rsidRPr="002E23FB" w:rsidRDefault="002E23FB" w:rsidP="001D2337">
      <w:pPr>
        <w:numPr>
          <w:ilvl w:val="0"/>
          <w:numId w:val="1"/>
        </w:numPr>
        <w:spacing w:before="100" w:beforeAutospacing="1" w:after="100" w:afterAutospacing="1" w:line="240" w:lineRule="auto"/>
        <w:ind w:left="900" w:right="900" w:firstLine="567"/>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t xml:space="preserve">Coordenadores de Vigilância Sanitária de Portos, Aeroportos, Fronteiras e Recintos Alfandegados: Até R$ 150.000,00 (cento e cinquenta mil reais); </w:t>
      </w:r>
    </w:p>
    <w:p w:rsidR="002E23FB" w:rsidRPr="002E23FB" w:rsidRDefault="002E23FB" w:rsidP="001D2337">
      <w:pPr>
        <w:numPr>
          <w:ilvl w:val="0"/>
          <w:numId w:val="1"/>
        </w:numPr>
        <w:spacing w:before="100" w:beforeAutospacing="1" w:after="100" w:afterAutospacing="1" w:line="240" w:lineRule="auto"/>
        <w:ind w:left="900" w:right="900" w:firstLine="567"/>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t xml:space="preserve">Gerente Geral de Gestão Administrativa e </w:t>
      </w:r>
      <w:proofErr w:type="gramStart"/>
      <w:r w:rsidRPr="002E23FB">
        <w:rPr>
          <w:rFonts w:ascii="Times New Roman" w:eastAsia="Times New Roman" w:hAnsi="Times New Roman" w:cs="Times New Roman"/>
          <w:sz w:val="24"/>
          <w:szCs w:val="24"/>
          <w:lang w:eastAsia="pt-BR"/>
        </w:rPr>
        <w:t>Financeira :</w:t>
      </w:r>
      <w:proofErr w:type="gramEnd"/>
      <w:r w:rsidRPr="002E23FB">
        <w:rPr>
          <w:rFonts w:ascii="Times New Roman" w:eastAsia="Times New Roman" w:hAnsi="Times New Roman" w:cs="Times New Roman"/>
          <w:sz w:val="24"/>
          <w:szCs w:val="24"/>
          <w:lang w:eastAsia="pt-BR"/>
        </w:rPr>
        <w:t xml:space="preserve"> até R$ 500.000,00 (quinhentos mil reais);</w:t>
      </w:r>
    </w:p>
    <w:p w:rsidR="002E23FB" w:rsidRPr="002E23FB" w:rsidRDefault="002E23FB" w:rsidP="001D2337">
      <w:pPr>
        <w:numPr>
          <w:ilvl w:val="0"/>
          <w:numId w:val="1"/>
        </w:numPr>
        <w:spacing w:before="100" w:beforeAutospacing="1" w:after="100" w:afterAutospacing="1" w:line="240" w:lineRule="auto"/>
        <w:ind w:left="900" w:right="900" w:firstLine="567"/>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t>Gerente Geral de Portos, Aeroportos, Fronteiras e Recintos Alfandegados: até R$ 500.000,00 (quinhentos mil reais);</w:t>
      </w:r>
    </w:p>
    <w:p w:rsidR="002E23FB" w:rsidRPr="002E23FB" w:rsidRDefault="002E23FB" w:rsidP="001D2337">
      <w:pPr>
        <w:numPr>
          <w:ilvl w:val="0"/>
          <w:numId w:val="1"/>
        </w:numPr>
        <w:spacing w:before="100" w:beforeAutospacing="1" w:after="100" w:afterAutospacing="1" w:line="240" w:lineRule="auto"/>
        <w:ind w:left="900" w:right="900" w:firstLine="567"/>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t xml:space="preserve">Diretor de Gestão Institucional: até R$ 1.000.000,00 (um milhão de reais); </w:t>
      </w:r>
    </w:p>
    <w:p w:rsidR="002E23FB" w:rsidRPr="002E23FB" w:rsidRDefault="002E23FB" w:rsidP="001D2337">
      <w:pPr>
        <w:numPr>
          <w:ilvl w:val="0"/>
          <w:numId w:val="1"/>
        </w:numPr>
        <w:spacing w:before="100" w:beforeAutospacing="1" w:after="100" w:afterAutospacing="1" w:line="240" w:lineRule="auto"/>
        <w:ind w:left="900" w:right="900" w:firstLine="567"/>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t xml:space="preserve">Diretor Presidente: Até R$ 10.000.000,00 (dez milhões de reais); </w:t>
      </w:r>
    </w:p>
    <w:p w:rsidR="002E23FB" w:rsidRDefault="002E23FB" w:rsidP="001D2337">
      <w:pPr>
        <w:numPr>
          <w:ilvl w:val="0"/>
          <w:numId w:val="1"/>
        </w:numPr>
        <w:spacing w:before="100" w:beforeAutospacing="1" w:after="100" w:afterAutospacing="1" w:line="240" w:lineRule="auto"/>
        <w:ind w:left="900" w:right="900" w:firstLine="567"/>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lastRenderedPageBreak/>
        <w:t xml:space="preserve">Ministro de Estado da Saúde: Acima de R$ 10.000.000,00 (dez milhões de reais); </w:t>
      </w:r>
      <w:proofErr w:type="gramStart"/>
      <w:r w:rsidRPr="002E23FB">
        <w:rPr>
          <w:rFonts w:ascii="Times New Roman" w:eastAsia="Times New Roman" w:hAnsi="Times New Roman" w:cs="Times New Roman"/>
          <w:sz w:val="24"/>
          <w:szCs w:val="24"/>
          <w:lang w:eastAsia="pt-BR"/>
        </w:rPr>
        <w:t>”</w:t>
      </w:r>
      <w:proofErr w:type="gramEnd"/>
    </w:p>
    <w:p w:rsidR="001D2337" w:rsidRPr="002E23FB" w:rsidRDefault="001D2337" w:rsidP="001D2337">
      <w:pPr>
        <w:spacing w:before="100" w:beforeAutospacing="1" w:after="100" w:afterAutospacing="1" w:line="240" w:lineRule="auto"/>
        <w:ind w:left="1467" w:right="900"/>
        <w:contextualSpacing/>
        <w:jc w:val="both"/>
        <w:rPr>
          <w:rFonts w:ascii="Times New Roman" w:eastAsia="Times New Roman" w:hAnsi="Times New Roman" w:cs="Times New Roman"/>
          <w:sz w:val="24"/>
          <w:szCs w:val="24"/>
          <w:lang w:eastAsia="pt-BR"/>
        </w:rPr>
      </w:pPr>
    </w:p>
    <w:p w:rsidR="002E23FB" w:rsidRPr="002E23FB" w:rsidRDefault="002E23FB" w:rsidP="002E23FB">
      <w:pPr>
        <w:spacing w:before="100" w:beforeAutospacing="1" w:after="100" w:afterAutospacing="1" w:line="240" w:lineRule="auto"/>
        <w:ind w:left="720"/>
        <w:contextualSpacing/>
        <w:jc w:val="both"/>
        <w:rPr>
          <w:rFonts w:ascii="Times New Roman" w:eastAsia="Times New Roman" w:hAnsi="Times New Roman" w:cs="Times New Roman"/>
          <w:sz w:val="24"/>
          <w:szCs w:val="24"/>
          <w:lang w:eastAsia="pt-BR"/>
        </w:rPr>
      </w:pPr>
      <w:r w:rsidRPr="002E23FB">
        <w:rPr>
          <w:rFonts w:ascii="Times New Roman" w:eastAsia="Times New Roman" w:hAnsi="Times New Roman" w:cs="Times New Roman"/>
          <w:sz w:val="24"/>
          <w:szCs w:val="24"/>
          <w:lang w:eastAsia="pt-BR"/>
        </w:rPr>
        <w:t>Parágrafo Único: Na hipótese de contratação pela utilização de Ata de Registro de Preços, própria, como partícipe ou obtida por processo de adesão, cada contrato deverá ser precedida de autorização prévia, em consonância aos limites de alçadas estabelecidos neste artigo.” (NR</w:t>
      </w:r>
      <w:proofErr w:type="gramStart"/>
      <w:r w:rsidRPr="002E23FB">
        <w:rPr>
          <w:rFonts w:ascii="Times New Roman" w:eastAsia="Times New Roman" w:hAnsi="Times New Roman" w:cs="Times New Roman"/>
          <w:sz w:val="24"/>
          <w:szCs w:val="24"/>
          <w:lang w:eastAsia="pt-BR"/>
        </w:rPr>
        <w:t>)</w:t>
      </w:r>
      <w:proofErr w:type="gramEnd"/>
    </w:p>
    <w:p w:rsidR="002E23FB" w:rsidRPr="002E23FB" w:rsidRDefault="002E23FB" w:rsidP="002E23FB">
      <w:pPr>
        <w:spacing w:before="100" w:beforeAutospacing="1" w:after="100" w:afterAutospacing="1" w:line="240" w:lineRule="auto"/>
        <w:ind w:left="720"/>
        <w:contextualSpacing/>
        <w:jc w:val="both"/>
        <w:rPr>
          <w:rFonts w:ascii="Times New Roman" w:eastAsia="Times New Roman" w:hAnsi="Times New Roman" w:cs="Times New Roman"/>
          <w:sz w:val="24"/>
          <w:szCs w:val="24"/>
          <w:lang w:eastAsia="pt-BR"/>
        </w:rPr>
      </w:pPr>
      <w:proofErr w:type="gramStart"/>
      <w:r w:rsidRPr="002E23FB">
        <w:rPr>
          <w:rFonts w:ascii="Times New Roman" w:eastAsia="Times New Roman" w:hAnsi="Times New Roman" w:cs="Times New Roman"/>
          <w:sz w:val="24"/>
          <w:szCs w:val="24"/>
          <w:lang w:eastAsia="pt-BR"/>
        </w:rPr>
        <w:t>.................................................................................................................................</w:t>
      </w:r>
      <w:proofErr w:type="gramEnd"/>
    </w:p>
    <w:p w:rsidR="002E23FB" w:rsidRPr="002E23FB" w:rsidRDefault="002E23FB" w:rsidP="002E23FB">
      <w:pPr>
        <w:spacing w:before="100" w:beforeAutospacing="1" w:after="100" w:afterAutospacing="1" w:line="240" w:lineRule="auto"/>
        <w:ind w:firstLine="567"/>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 2º O art. 4º da Instrução Normativa n° 12, de 12 de novembro de 2010, passa a vigorar com a seguinte redação:</w:t>
      </w:r>
    </w:p>
    <w:p w:rsidR="002E23FB" w:rsidRPr="002E23FB" w:rsidRDefault="002E23FB" w:rsidP="002E23FB">
      <w:pPr>
        <w:spacing w:before="100" w:beforeAutospacing="1" w:after="100" w:afterAutospacing="1" w:line="240" w:lineRule="auto"/>
        <w:ind w:left="709" w:hanging="4"/>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“Art.4° Ficam estabelecidos os limites e alçadas para as contratações, prorrogações contratuais, patrocínios e alienações, constantes no Anexo I desta Instrução Normativa.” (NR</w:t>
      </w:r>
      <w:proofErr w:type="gramStart"/>
      <w:r w:rsidRPr="002E23FB">
        <w:rPr>
          <w:rFonts w:ascii="Times New Roman" w:eastAsiaTheme="minorEastAsia" w:hAnsi="Times New Roman" w:cs="Times New Roman"/>
          <w:sz w:val="24"/>
          <w:szCs w:val="24"/>
          <w:lang w:eastAsia="pt-BR"/>
        </w:rPr>
        <w:t>)</w:t>
      </w:r>
      <w:proofErr w:type="gramEnd"/>
    </w:p>
    <w:p w:rsidR="002E23FB" w:rsidRPr="002E23FB" w:rsidRDefault="002E23FB" w:rsidP="002E23FB">
      <w:pPr>
        <w:spacing w:before="100" w:beforeAutospacing="1" w:after="100" w:afterAutospacing="1" w:line="240" w:lineRule="auto"/>
        <w:ind w:firstLine="567"/>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 3º O art. 6º da Instrução Normativa n° 12, de 12 de novembro de 2010, passa a vigorar com a seguinte redação:</w:t>
      </w:r>
    </w:p>
    <w:p w:rsidR="002E23FB" w:rsidRPr="002E23FB" w:rsidRDefault="002E23FB" w:rsidP="002E23FB">
      <w:pPr>
        <w:spacing w:before="100" w:beforeAutospacing="1" w:after="100" w:afterAutospacing="1" w:line="240" w:lineRule="auto"/>
        <w:ind w:left="709" w:hanging="4"/>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“Art.6° Nos casos de dispensa previstas no art. 24, incisos III a XXIV, da Lei nº. 8.666/93 e de inexigibilidade de licitação, compete à(s) autoridade(s) demandante(s), constantes no Anexo I desta Instrução Normativa indicar à autoridade competente a declará-la, a razão de escolha do fornecedor e a justificativa de preço.” (NR</w:t>
      </w:r>
      <w:proofErr w:type="gramStart"/>
      <w:r w:rsidRPr="002E23FB">
        <w:rPr>
          <w:rFonts w:ascii="Times New Roman" w:eastAsiaTheme="minorEastAsia" w:hAnsi="Times New Roman" w:cs="Times New Roman"/>
          <w:sz w:val="24"/>
          <w:szCs w:val="24"/>
          <w:lang w:eastAsia="pt-BR"/>
        </w:rPr>
        <w:t>)</w:t>
      </w:r>
      <w:proofErr w:type="gramEnd"/>
    </w:p>
    <w:p w:rsidR="002E23FB" w:rsidRPr="002E23FB" w:rsidRDefault="002E23FB" w:rsidP="002E23FB">
      <w:pPr>
        <w:spacing w:before="100" w:beforeAutospacing="1" w:after="100" w:afterAutospacing="1" w:line="240" w:lineRule="auto"/>
        <w:ind w:firstLine="567"/>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 4º O art. 8º da Instrução Normativa n°12, de 12 de novembro de 2010, passa a vigorar com a seguinte redação:</w:t>
      </w:r>
    </w:p>
    <w:p w:rsidR="002E23FB" w:rsidRPr="002E23FB" w:rsidRDefault="002E23FB" w:rsidP="002E23FB">
      <w:pPr>
        <w:spacing w:before="100" w:beforeAutospacing="1" w:after="100" w:afterAutospacing="1" w:line="240" w:lineRule="auto"/>
        <w:ind w:left="709"/>
        <w:jc w:val="both"/>
        <w:rPr>
          <w:rFonts w:ascii="Times New Roman" w:eastAsiaTheme="minorEastAsia" w:hAnsi="Times New Roman" w:cs="Times New Roman"/>
          <w:sz w:val="24"/>
          <w:szCs w:val="24"/>
          <w:lang w:eastAsia="pt-BR"/>
        </w:rPr>
      </w:pPr>
      <w:proofErr w:type="gramStart"/>
      <w:r w:rsidRPr="002E23FB">
        <w:rPr>
          <w:rFonts w:ascii="Times New Roman" w:eastAsiaTheme="minorEastAsia" w:hAnsi="Times New Roman" w:cs="Times New Roman"/>
          <w:sz w:val="24"/>
          <w:szCs w:val="24"/>
          <w:lang w:eastAsia="pt-BR"/>
        </w:rPr>
        <w:t>“Art.8 Aos Diretores Presidente</w:t>
      </w:r>
      <w:proofErr w:type="gramEnd"/>
      <w:r w:rsidRPr="002E23FB">
        <w:rPr>
          <w:rFonts w:ascii="Times New Roman" w:eastAsiaTheme="minorEastAsia" w:hAnsi="Times New Roman" w:cs="Times New Roman"/>
          <w:sz w:val="24"/>
          <w:szCs w:val="24"/>
          <w:lang w:eastAsia="pt-BR"/>
        </w:rPr>
        <w:t xml:space="preserve"> e de Gestão Institucional, nos limites de suas alçadas constantes no Anexo I desta Instrução Normativa, cabem ratificar o ato de reconhecimento da dispensa prevista no art.24, incisos III a XXIV, da Lei n. 8666/93 e de inexigibilidade de licitação.</w:t>
      </w:r>
    </w:p>
    <w:p w:rsidR="002E23FB" w:rsidRPr="002E23FB" w:rsidRDefault="002E23FB" w:rsidP="002E23FB">
      <w:pPr>
        <w:spacing w:before="100" w:beforeAutospacing="1" w:after="100" w:afterAutospacing="1" w:line="240" w:lineRule="auto"/>
        <w:ind w:left="709" w:hanging="4"/>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 1° O ato Administrativo do Diretor de Gestão Institucional, do Gerente Geral de Gestão Administrativa e Financeira e do Gerente-Geral de Portos, Aeroportos, Fronteiras, e Recintos Alfandegários que, nos limites de suas alçadas constantes no Anexo I desta Instrução Normativa, declarem a dispensa e/ou a inexigibilidade de licitação, exceto quando se tratar de dispensa enquadrada no art. 24, incisos I e II, da Lei n. 8666/93, deve ser ratificado, no prazo de 03 (três) dias úteis, pelo Diretor-Presidente e pelo Diretor de Gestão Institucional, respectivamente.</w:t>
      </w:r>
    </w:p>
    <w:p w:rsidR="002E23FB" w:rsidRPr="002E23FB" w:rsidRDefault="002E23FB" w:rsidP="002E23FB">
      <w:pPr>
        <w:spacing w:before="100" w:beforeAutospacing="1" w:after="100" w:afterAutospacing="1" w:line="240" w:lineRule="auto"/>
        <w:ind w:left="709"/>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 xml:space="preserve">§ 2° Quando se tratar de inexigibilidade ou de dispensa prevista no art.24, incisos III a XXIV da Lei n. 8666/93, cujos valores estejam enquadrados no limite disposto pelo art. 24, inciso II da referida Lei, o ato administrativo da declaração será de responsabilidade do Coordenador de Contratação Pública e dos Coordenadores de Vigilância Sanitária de Portos, Aeroportos, Fronteiras e </w:t>
      </w:r>
      <w:r w:rsidRPr="002E23FB">
        <w:rPr>
          <w:rFonts w:ascii="Times New Roman" w:eastAsiaTheme="minorEastAsia" w:hAnsi="Times New Roman" w:cs="Times New Roman"/>
          <w:sz w:val="24"/>
          <w:szCs w:val="24"/>
          <w:lang w:eastAsia="pt-BR"/>
        </w:rPr>
        <w:lastRenderedPageBreak/>
        <w:t>Recintos Alfandegados, no âmbito das suas competências institucionais, e o ato de ratificar o reconhecimento da inexigibilidade ou dispensa caberá ao Gerente-Geral de Gestão Administrativa e Financeira e ao Gerente-Geral de Portos, Aeroportos, Fronteiras, e Recintos Alfandegários, respectivamente, como disposto no Anexo I desta Instrução Normativa.” (NR</w:t>
      </w:r>
      <w:proofErr w:type="gramStart"/>
      <w:r w:rsidRPr="002E23FB">
        <w:rPr>
          <w:rFonts w:ascii="Times New Roman" w:eastAsiaTheme="minorEastAsia" w:hAnsi="Times New Roman" w:cs="Times New Roman"/>
          <w:sz w:val="24"/>
          <w:szCs w:val="24"/>
          <w:lang w:eastAsia="pt-BR"/>
        </w:rPr>
        <w:t>)</w:t>
      </w:r>
      <w:proofErr w:type="gramEnd"/>
    </w:p>
    <w:p w:rsidR="002E23FB" w:rsidRPr="002E23FB" w:rsidRDefault="002E23FB" w:rsidP="002E23FB">
      <w:pPr>
        <w:spacing w:before="100" w:beforeAutospacing="1" w:after="100" w:afterAutospacing="1" w:line="240" w:lineRule="auto"/>
        <w:ind w:firstLine="567"/>
        <w:jc w:val="both"/>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Art. 5º Esta Instrução Normativa entra em vigor na data de sua publicação.</w:t>
      </w:r>
    </w:p>
    <w:p w:rsidR="002E23FB" w:rsidRP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r w:rsidRPr="002E23FB">
        <w:rPr>
          <w:rFonts w:ascii="Times New Roman" w:eastAsiaTheme="minorEastAsia" w:hAnsi="Times New Roman" w:cs="Times New Roman"/>
          <w:bCs/>
          <w:color w:val="000000"/>
          <w:sz w:val="24"/>
          <w:szCs w:val="24"/>
          <w:lang w:eastAsia="pt-BR"/>
        </w:rPr>
        <w:t>DIRCEU BRÁS APARECIDO BARBANO</w:t>
      </w: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Default="002E23FB" w:rsidP="002E23FB">
      <w:pPr>
        <w:spacing w:before="100" w:beforeAutospacing="1" w:after="100" w:afterAutospacing="1" w:line="240" w:lineRule="auto"/>
        <w:ind w:left="150" w:right="150"/>
        <w:jc w:val="center"/>
        <w:outlineLvl w:val="1"/>
        <w:rPr>
          <w:rFonts w:ascii="Times New Roman" w:eastAsiaTheme="minorEastAsia" w:hAnsi="Times New Roman" w:cs="Times New Roman"/>
          <w:bCs/>
          <w:color w:val="000000"/>
          <w:sz w:val="24"/>
          <w:szCs w:val="24"/>
          <w:lang w:eastAsia="pt-BR"/>
        </w:rPr>
      </w:pPr>
    </w:p>
    <w:p w:rsidR="002E23FB" w:rsidRPr="002E23FB" w:rsidRDefault="002E23FB" w:rsidP="002E23FB">
      <w:pPr>
        <w:rPr>
          <w:rFonts w:ascii="Times New Roman" w:eastAsiaTheme="minorEastAsia" w:hAnsi="Times New Roman" w:cs="Times New Roman"/>
          <w:bCs/>
          <w:color w:val="000000"/>
          <w:sz w:val="24"/>
          <w:szCs w:val="24"/>
          <w:lang w:eastAsia="pt-BR"/>
        </w:rPr>
        <w:sectPr w:rsidR="002E23FB" w:rsidRPr="002E23FB" w:rsidSect="00D0530F">
          <w:headerReference w:type="default" r:id="rId9"/>
          <w:footerReference w:type="default" r:id="rId10"/>
          <w:pgSz w:w="11906" w:h="16838" w:code="9"/>
          <w:pgMar w:top="1418" w:right="1701" w:bottom="1418" w:left="1701" w:header="709" w:footer="709" w:gutter="0"/>
          <w:cols w:space="708"/>
          <w:docGrid w:linePitch="360"/>
        </w:sectPr>
      </w:pPr>
    </w:p>
    <w:p w:rsidR="002E23FB" w:rsidRPr="002E23FB" w:rsidRDefault="002E23FB" w:rsidP="002E23FB">
      <w:pPr>
        <w:spacing w:before="100" w:beforeAutospacing="1" w:after="100" w:afterAutospacing="1" w:line="240" w:lineRule="auto"/>
        <w:jc w:val="center"/>
        <w:rPr>
          <w:rFonts w:ascii="Times New Roman" w:eastAsiaTheme="minorEastAsia" w:hAnsi="Times New Roman" w:cs="Times New Roman"/>
          <w:strike/>
          <w:sz w:val="24"/>
          <w:szCs w:val="24"/>
          <w:lang w:eastAsia="pt-BR"/>
        </w:rPr>
      </w:pPr>
      <w:r w:rsidRPr="002E23FB">
        <w:rPr>
          <w:rFonts w:ascii="Times New Roman" w:eastAsiaTheme="minorEastAsia" w:hAnsi="Times New Roman" w:cs="Times New Roman"/>
          <w:strike/>
          <w:sz w:val="24"/>
          <w:szCs w:val="24"/>
          <w:lang w:eastAsia="pt-BR"/>
        </w:rPr>
        <w:lastRenderedPageBreak/>
        <w:t>ANEXO I da INSTRUÇÃO NORMATIVA Nº 49/2013</w:t>
      </w:r>
    </w:p>
    <w:p w:rsidR="002E23FB" w:rsidRPr="002E23FB" w:rsidRDefault="002E23FB" w:rsidP="002E23FB">
      <w:pPr>
        <w:spacing w:before="100" w:beforeAutospacing="1" w:after="100" w:afterAutospacing="1" w:line="240" w:lineRule="auto"/>
        <w:jc w:val="center"/>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ANEXO I da INSTRUÇÃO NORMATIVA Nº 07/2013</w:t>
      </w:r>
    </w:p>
    <w:p w:rsidR="002E23FB" w:rsidRPr="002E23FB" w:rsidRDefault="002E23FB" w:rsidP="002E23FB">
      <w:pPr>
        <w:spacing w:before="100" w:beforeAutospacing="1" w:after="100" w:afterAutospacing="1" w:line="240" w:lineRule="auto"/>
        <w:jc w:val="center"/>
        <w:rPr>
          <w:rFonts w:ascii="Times New Roman" w:eastAsiaTheme="minorEastAsia" w:hAnsi="Times New Roman" w:cs="Times New Roman"/>
          <w:b/>
          <w:color w:val="0000FF"/>
          <w:sz w:val="24"/>
          <w:szCs w:val="24"/>
          <w:lang w:eastAsia="pt-BR"/>
        </w:rPr>
      </w:pPr>
      <w:r w:rsidRPr="002E23FB">
        <w:rPr>
          <w:rFonts w:ascii="Times New Roman" w:eastAsiaTheme="minorEastAsia" w:hAnsi="Times New Roman" w:cs="Times New Roman"/>
          <w:b/>
          <w:color w:val="0000FF"/>
          <w:sz w:val="24"/>
          <w:szCs w:val="24"/>
          <w:lang w:eastAsia="pt-BR"/>
        </w:rPr>
        <w:t>(Retificado em DOU nº 214, de 04 de novembro de 2013</w:t>
      </w:r>
      <w:proofErr w:type="gramStart"/>
      <w:r w:rsidRPr="002E23FB">
        <w:rPr>
          <w:rFonts w:ascii="Times New Roman" w:eastAsiaTheme="minorEastAsia" w:hAnsi="Times New Roman" w:cs="Times New Roman"/>
          <w:b/>
          <w:color w:val="0000FF"/>
          <w:sz w:val="24"/>
          <w:szCs w:val="24"/>
          <w:lang w:eastAsia="pt-BR"/>
        </w:rPr>
        <w:t>)</w:t>
      </w:r>
      <w:proofErr w:type="gramEnd"/>
    </w:p>
    <w:p w:rsidR="002E23FB" w:rsidRPr="002E23FB" w:rsidRDefault="002E23FB" w:rsidP="002E23FB">
      <w:pPr>
        <w:spacing w:before="100" w:beforeAutospacing="1" w:after="100" w:afterAutospacing="1" w:line="240" w:lineRule="auto"/>
        <w:jc w:val="center"/>
        <w:rPr>
          <w:rFonts w:ascii="Times New Roman" w:eastAsiaTheme="minorEastAsia" w:hAnsi="Times New Roman" w:cs="Times New Roman"/>
          <w:sz w:val="24"/>
          <w:szCs w:val="24"/>
          <w:lang w:eastAsia="pt-BR"/>
        </w:rPr>
      </w:pPr>
      <w:r w:rsidRPr="002E23FB">
        <w:rPr>
          <w:rFonts w:ascii="Times New Roman" w:eastAsiaTheme="minorEastAsia" w:hAnsi="Times New Roman" w:cs="Times New Roman"/>
          <w:sz w:val="24"/>
          <w:szCs w:val="24"/>
          <w:lang w:eastAsia="pt-BR"/>
        </w:rPr>
        <w:t>(Limites e Alçadas para Compras e Contratações com Fornecedores)</w:t>
      </w:r>
    </w:p>
    <w:tbl>
      <w:tblPr>
        <w:tblW w:w="136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965"/>
        <w:gridCol w:w="2707"/>
        <w:gridCol w:w="1592"/>
        <w:gridCol w:w="1786"/>
        <w:gridCol w:w="1226"/>
        <w:gridCol w:w="1226"/>
        <w:gridCol w:w="1327"/>
        <w:gridCol w:w="544"/>
        <w:gridCol w:w="609"/>
        <w:gridCol w:w="675"/>
      </w:tblGrid>
      <w:tr w:rsidR="002E23FB" w:rsidRPr="002E23FB" w:rsidTr="00DA2438">
        <w:trPr>
          <w:trHeight w:val="19"/>
          <w:jc w:val="center"/>
        </w:trPr>
        <w:tc>
          <w:tcPr>
            <w:tcW w:w="719"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 xml:space="preserve">Limites </w:t>
            </w:r>
          </w:p>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(em R$ 1,00)</w:t>
            </w:r>
          </w:p>
        </w:tc>
        <w:tc>
          <w:tcPr>
            <w:tcW w:w="991"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Aprovação motivada</w:t>
            </w:r>
          </w:p>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proofErr w:type="gramStart"/>
            <w:r w:rsidRPr="002E23FB">
              <w:rPr>
                <w:rFonts w:ascii="Arial" w:eastAsiaTheme="minorEastAsia" w:hAnsi="Arial" w:cs="Arial"/>
                <w:b/>
                <w:bCs/>
                <w:color w:val="000000"/>
                <w:sz w:val="16"/>
                <w:szCs w:val="16"/>
                <w:lang w:eastAsia="pt-BR"/>
              </w:rPr>
              <w:t>do</w:t>
            </w:r>
            <w:proofErr w:type="gramEnd"/>
            <w:r w:rsidRPr="002E23FB">
              <w:rPr>
                <w:rFonts w:ascii="Arial" w:eastAsiaTheme="minorEastAsia" w:hAnsi="Arial" w:cs="Arial"/>
                <w:b/>
                <w:bCs/>
                <w:color w:val="000000"/>
                <w:sz w:val="16"/>
                <w:szCs w:val="16"/>
                <w:lang w:eastAsia="pt-BR"/>
              </w:rPr>
              <w:t xml:space="preserve"> termo de referência</w:t>
            </w:r>
          </w:p>
        </w:tc>
        <w:tc>
          <w:tcPr>
            <w:tcW w:w="583" w:type="pct"/>
            <w:vMerge w:val="restar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Autorização para deflagração da licitação e contratação</w:t>
            </w:r>
          </w:p>
        </w:tc>
        <w:tc>
          <w:tcPr>
            <w:tcW w:w="654" w:type="pct"/>
            <w:vMerge w:val="restar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Autorização para prorrogação contratual</w:t>
            </w:r>
          </w:p>
        </w:tc>
        <w:tc>
          <w:tcPr>
            <w:tcW w:w="449" w:type="pct"/>
            <w:vMerge w:val="restar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Homologação</w:t>
            </w:r>
          </w:p>
        </w:tc>
        <w:tc>
          <w:tcPr>
            <w:tcW w:w="449" w:type="pct"/>
            <w:vMerge w:val="restar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proofErr w:type="spellStart"/>
            <w:r w:rsidRPr="002E23FB">
              <w:rPr>
                <w:rFonts w:ascii="Arial" w:eastAsiaTheme="minorEastAsia" w:hAnsi="Arial" w:cs="Arial"/>
                <w:b/>
                <w:bCs/>
                <w:color w:val="000000"/>
                <w:sz w:val="16"/>
                <w:szCs w:val="16"/>
                <w:lang w:eastAsia="pt-BR"/>
              </w:rPr>
              <w:t>Declação</w:t>
            </w:r>
            <w:proofErr w:type="spellEnd"/>
            <w:r w:rsidRPr="002E23FB">
              <w:rPr>
                <w:rFonts w:ascii="Arial" w:eastAsiaTheme="minorEastAsia" w:hAnsi="Arial" w:cs="Arial"/>
                <w:b/>
                <w:bCs/>
                <w:color w:val="000000"/>
                <w:sz w:val="16"/>
                <w:szCs w:val="16"/>
                <w:lang w:eastAsia="pt-BR"/>
              </w:rPr>
              <w:t xml:space="preserve"> de </w:t>
            </w:r>
            <w:proofErr w:type="spellStart"/>
            <w:r w:rsidRPr="002E23FB">
              <w:rPr>
                <w:rFonts w:ascii="Arial" w:eastAsiaTheme="minorEastAsia" w:hAnsi="Arial" w:cs="Arial"/>
                <w:b/>
                <w:bCs/>
                <w:color w:val="000000"/>
                <w:sz w:val="16"/>
                <w:szCs w:val="16"/>
                <w:lang w:eastAsia="pt-BR"/>
              </w:rPr>
              <w:t>inexibili</w:t>
            </w:r>
            <w:proofErr w:type="spellEnd"/>
          </w:p>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proofErr w:type="spellStart"/>
            <w:proofErr w:type="gramStart"/>
            <w:r w:rsidRPr="002E23FB">
              <w:rPr>
                <w:rFonts w:ascii="Arial" w:eastAsiaTheme="minorEastAsia" w:hAnsi="Arial" w:cs="Arial"/>
                <w:b/>
                <w:bCs/>
                <w:color w:val="000000"/>
                <w:sz w:val="16"/>
                <w:szCs w:val="16"/>
                <w:lang w:eastAsia="pt-BR"/>
              </w:rPr>
              <w:t>dade</w:t>
            </w:r>
            <w:proofErr w:type="spellEnd"/>
            <w:proofErr w:type="gramEnd"/>
            <w:r w:rsidRPr="002E23FB">
              <w:rPr>
                <w:rFonts w:ascii="Arial" w:eastAsiaTheme="minorEastAsia" w:hAnsi="Arial" w:cs="Arial"/>
                <w:b/>
                <w:bCs/>
                <w:color w:val="000000"/>
                <w:sz w:val="16"/>
                <w:szCs w:val="16"/>
                <w:lang w:eastAsia="pt-BR"/>
              </w:rPr>
              <w:t xml:space="preserve"> e </w:t>
            </w:r>
            <w:proofErr w:type="spellStart"/>
            <w:r w:rsidRPr="002E23FB">
              <w:rPr>
                <w:rFonts w:ascii="Arial" w:eastAsiaTheme="minorEastAsia" w:hAnsi="Arial" w:cs="Arial"/>
                <w:b/>
                <w:bCs/>
                <w:color w:val="000000"/>
                <w:sz w:val="16"/>
                <w:szCs w:val="16"/>
                <w:lang w:eastAsia="pt-BR"/>
              </w:rPr>
              <w:t>dispen</w:t>
            </w:r>
            <w:proofErr w:type="spellEnd"/>
          </w:p>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proofErr w:type="spellStart"/>
            <w:proofErr w:type="gramStart"/>
            <w:r w:rsidRPr="002E23FB">
              <w:rPr>
                <w:rFonts w:ascii="Arial" w:eastAsiaTheme="minorEastAsia" w:hAnsi="Arial" w:cs="Arial"/>
                <w:b/>
                <w:bCs/>
                <w:color w:val="000000"/>
                <w:sz w:val="16"/>
                <w:szCs w:val="16"/>
                <w:lang w:eastAsia="pt-BR"/>
              </w:rPr>
              <w:t>sas</w:t>
            </w:r>
            <w:proofErr w:type="spellEnd"/>
            <w:proofErr w:type="gramEnd"/>
            <w:r w:rsidRPr="002E23FB">
              <w:rPr>
                <w:rFonts w:ascii="Arial" w:eastAsiaTheme="minorEastAsia" w:hAnsi="Arial" w:cs="Arial"/>
                <w:b/>
                <w:bCs/>
                <w:color w:val="000000"/>
                <w:sz w:val="16"/>
                <w:szCs w:val="16"/>
                <w:lang w:eastAsia="pt-BR"/>
              </w:rPr>
              <w:t xml:space="preserve"> (art. 24, incisos </w:t>
            </w:r>
            <w:proofErr w:type="spellStart"/>
            <w:r w:rsidRPr="002E23FB">
              <w:rPr>
                <w:rFonts w:ascii="Arial" w:eastAsiaTheme="minorEastAsia" w:hAnsi="Arial" w:cs="Arial"/>
                <w:b/>
                <w:bCs/>
                <w:color w:val="000000"/>
                <w:sz w:val="16"/>
                <w:szCs w:val="16"/>
                <w:lang w:eastAsia="pt-BR"/>
              </w:rPr>
              <w:t>iii</w:t>
            </w:r>
            <w:proofErr w:type="spellEnd"/>
            <w:r w:rsidRPr="002E23FB">
              <w:rPr>
                <w:rFonts w:ascii="Arial" w:eastAsiaTheme="minorEastAsia" w:hAnsi="Arial" w:cs="Arial"/>
                <w:b/>
                <w:bCs/>
                <w:color w:val="000000"/>
                <w:sz w:val="16"/>
                <w:szCs w:val="16"/>
                <w:lang w:eastAsia="pt-BR"/>
              </w:rPr>
              <w:t xml:space="preserve"> a </w:t>
            </w:r>
            <w:proofErr w:type="spellStart"/>
            <w:r w:rsidRPr="002E23FB">
              <w:rPr>
                <w:rFonts w:ascii="Arial" w:eastAsiaTheme="minorEastAsia" w:hAnsi="Arial" w:cs="Arial"/>
                <w:b/>
                <w:bCs/>
                <w:color w:val="000000"/>
                <w:sz w:val="16"/>
                <w:szCs w:val="16"/>
                <w:lang w:eastAsia="pt-BR"/>
              </w:rPr>
              <w:t>xxiv</w:t>
            </w:r>
            <w:proofErr w:type="spellEnd"/>
            <w:r w:rsidRPr="002E23FB">
              <w:rPr>
                <w:rFonts w:ascii="Arial" w:eastAsiaTheme="minorEastAsia" w:hAnsi="Arial" w:cs="Arial"/>
                <w:b/>
                <w:bCs/>
                <w:color w:val="000000"/>
                <w:sz w:val="16"/>
                <w:szCs w:val="16"/>
                <w:lang w:eastAsia="pt-BR"/>
              </w:rPr>
              <w:t>)</w:t>
            </w:r>
          </w:p>
        </w:tc>
        <w:tc>
          <w:tcPr>
            <w:tcW w:w="685" w:type="pct"/>
            <w:gridSpan w:val="2"/>
            <w:vMerge w:val="restar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Ratificação (1)</w:t>
            </w:r>
          </w:p>
        </w:tc>
        <w:tc>
          <w:tcPr>
            <w:tcW w:w="223" w:type="pct"/>
            <w:vMerge w:val="restar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Assinatura do termo contratual</w:t>
            </w:r>
          </w:p>
        </w:tc>
        <w:tc>
          <w:tcPr>
            <w:tcW w:w="245" w:type="pct"/>
            <w:vMerge w:val="restart"/>
            <w:vAlign w:val="center"/>
            <w:hideMark/>
          </w:tcPr>
          <w:p w:rsidR="002E23FB" w:rsidRPr="002E23FB" w:rsidRDefault="002E23FB" w:rsidP="002E23FB">
            <w:pPr>
              <w:spacing w:before="100" w:beforeAutospacing="1" w:after="100" w:afterAutospacing="1" w:line="240" w:lineRule="auto"/>
              <w:ind w:left="-15" w:firstLine="15"/>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 xml:space="preserve">Referencial dos valores </w:t>
            </w:r>
            <w:proofErr w:type="spellStart"/>
            <w:r w:rsidRPr="002E23FB">
              <w:rPr>
                <w:rFonts w:ascii="Arial" w:eastAsiaTheme="minorEastAsia" w:hAnsi="Arial" w:cs="Arial"/>
                <w:b/>
                <w:bCs/>
                <w:color w:val="000000"/>
                <w:sz w:val="16"/>
                <w:szCs w:val="16"/>
                <w:lang w:eastAsia="pt-BR"/>
              </w:rPr>
              <w:t>convencio</w:t>
            </w:r>
            <w:proofErr w:type="spellEnd"/>
          </w:p>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proofErr w:type="gramStart"/>
            <w:r w:rsidRPr="002E23FB">
              <w:rPr>
                <w:rFonts w:ascii="Arial" w:eastAsiaTheme="minorEastAsia" w:hAnsi="Arial" w:cs="Arial"/>
                <w:b/>
                <w:bCs/>
                <w:color w:val="000000"/>
                <w:sz w:val="16"/>
                <w:szCs w:val="16"/>
                <w:lang w:eastAsia="pt-BR"/>
              </w:rPr>
              <w:t>nados</w:t>
            </w:r>
            <w:proofErr w:type="gramEnd"/>
          </w:p>
        </w:tc>
      </w:tr>
      <w:tr w:rsidR="002E23FB" w:rsidRPr="002E23FB" w:rsidTr="00DA2438">
        <w:trPr>
          <w:trHeight w:val="19"/>
          <w:jc w:val="center"/>
        </w:trPr>
        <w:tc>
          <w:tcPr>
            <w:tcW w:w="719" w:type="pct"/>
            <w:noWrap/>
            <w:vAlign w:val="bottom"/>
            <w:hideMark/>
          </w:tcPr>
          <w:p w:rsidR="002E23FB" w:rsidRPr="002E23FB" w:rsidRDefault="002E23FB" w:rsidP="002E23FB">
            <w:pPr>
              <w:spacing w:before="100" w:beforeAutospacing="1" w:after="100" w:afterAutospacing="1" w:line="240" w:lineRule="auto"/>
              <w:jc w:val="both"/>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 xml:space="preserve">(Obras, serviços de engenharia, locação de bens, aquisição de </w:t>
            </w:r>
            <w:proofErr w:type="gramStart"/>
            <w:r w:rsidRPr="002E23FB">
              <w:rPr>
                <w:rFonts w:ascii="Arial" w:eastAsiaTheme="minorEastAsia" w:hAnsi="Arial" w:cs="Arial"/>
                <w:b/>
                <w:bCs/>
                <w:color w:val="000000"/>
                <w:sz w:val="16"/>
                <w:szCs w:val="16"/>
                <w:lang w:eastAsia="pt-BR"/>
              </w:rPr>
              <w:t>bens</w:t>
            </w:r>
            <w:proofErr w:type="gramEnd"/>
            <w:r w:rsidRPr="002E23FB">
              <w:rPr>
                <w:rFonts w:ascii="Arial" w:eastAsiaTheme="minorEastAsia" w:hAnsi="Arial" w:cs="Arial"/>
                <w:b/>
                <w:bCs/>
                <w:color w:val="000000"/>
                <w:sz w:val="16"/>
                <w:szCs w:val="16"/>
                <w:lang w:eastAsia="pt-BR"/>
              </w:rPr>
              <w:t xml:space="preserve"> </w:t>
            </w:r>
          </w:p>
        </w:tc>
        <w:tc>
          <w:tcPr>
            <w:tcW w:w="991" w:type="pct"/>
            <w:vMerge w:val="restar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r w:rsidRPr="002E23FB">
              <w:rPr>
                <w:rFonts w:ascii="Arial" w:eastAsiaTheme="minorEastAsia" w:hAnsi="Arial" w:cs="Arial"/>
                <w:b/>
                <w:bCs/>
                <w:color w:val="000000"/>
                <w:sz w:val="16"/>
                <w:szCs w:val="16"/>
                <w:lang w:eastAsia="pt-BR"/>
              </w:rPr>
              <w:t>Custeio e Despesas com Capital</w:t>
            </w:r>
          </w:p>
        </w:tc>
        <w:tc>
          <w:tcPr>
            <w:tcW w:w="583" w:type="pct"/>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654" w:type="pct"/>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449" w:type="pct"/>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449" w:type="pct"/>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685" w:type="pct"/>
            <w:gridSpan w:val="2"/>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223" w:type="pct"/>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245" w:type="pct"/>
            <w:vMerge/>
            <w:vAlign w:val="center"/>
            <w:hideMark/>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r>
      <w:tr w:rsidR="002E23FB" w:rsidRPr="002E23FB" w:rsidTr="00DA2438">
        <w:trPr>
          <w:trHeight w:val="19"/>
          <w:jc w:val="center"/>
        </w:trPr>
        <w:tc>
          <w:tcPr>
            <w:tcW w:w="719" w:type="pct"/>
            <w:noWrap/>
            <w:vAlign w:val="bottom"/>
          </w:tcPr>
          <w:p w:rsidR="002E23FB" w:rsidRPr="002E23FB" w:rsidRDefault="002E23FB" w:rsidP="002E23FB">
            <w:pPr>
              <w:spacing w:before="100" w:beforeAutospacing="1" w:after="100" w:afterAutospacing="1" w:line="240" w:lineRule="auto"/>
              <w:jc w:val="both"/>
              <w:rPr>
                <w:rFonts w:ascii="Arial" w:eastAsiaTheme="minorEastAsia" w:hAnsi="Arial" w:cs="Arial"/>
                <w:b/>
                <w:bCs/>
                <w:color w:val="000000"/>
                <w:sz w:val="16"/>
                <w:szCs w:val="16"/>
                <w:lang w:eastAsia="pt-BR"/>
              </w:rPr>
            </w:pPr>
            <w:proofErr w:type="gramStart"/>
            <w:r w:rsidRPr="002E23FB">
              <w:rPr>
                <w:rFonts w:ascii="Arial" w:eastAsiaTheme="minorEastAsia" w:hAnsi="Arial" w:cs="Arial"/>
                <w:b/>
                <w:bCs/>
                <w:color w:val="000000"/>
                <w:sz w:val="16"/>
                <w:szCs w:val="16"/>
                <w:lang w:eastAsia="pt-BR"/>
              </w:rPr>
              <w:t>e</w:t>
            </w:r>
            <w:proofErr w:type="gramEnd"/>
            <w:r w:rsidRPr="002E23FB">
              <w:rPr>
                <w:rFonts w:ascii="Arial" w:eastAsiaTheme="minorEastAsia" w:hAnsi="Arial" w:cs="Arial"/>
                <w:b/>
                <w:bCs/>
                <w:color w:val="000000"/>
                <w:sz w:val="16"/>
                <w:szCs w:val="16"/>
                <w:lang w:eastAsia="pt-BR"/>
              </w:rPr>
              <w:t xml:space="preserve"> serviços, patrocínio institucional e alienação) (2)</w:t>
            </w:r>
          </w:p>
        </w:tc>
        <w:tc>
          <w:tcPr>
            <w:tcW w:w="991" w:type="pct"/>
            <w:vMerge/>
            <w:vAlign w:val="center"/>
          </w:tcPr>
          <w:p w:rsidR="002E23FB" w:rsidRPr="002E23FB" w:rsidRDefault="002E23FB" w:rsidP="002E23FB">
            <w:pPr>
              <w:spacing w:before="100" w:beforeAutospacing="1" w:after="100" w:afterAutospacing="1" w:line="240" w:lineRule="auto"/>
              <w:jc w:val="center"/>
              <w:rPr>
                <w:rFonts w:ascii="Arial" w:eastAsiaTheme="minorEastAsia" w:hAnsi="Arial" w:cs="Arial"/>
                <w:b/>
                <w:bCs/>
                <w:color w:val="000000"/>
                <w:sz w:val="16"/>
                <w:szCs w:val="16"/>
                <w:lang w:eastAsia="pt-BR"/>
              </w:rPr>
            </w:pPr>
          </w:p>
        </w:tc>
        <w:tc>
          <w:tcPr>
            <w:tcW w:w="583" w:type="pct"/>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654" w:type="pct"/>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449" w:type="pct"/>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449" w:type="pct"/>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685" w:type="pct"/>
            <w:gridSpan w:val="2"/>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223" w:type="pct"/>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c>
          <w:tcPr>
            <w:tcW w:w="245" w:type="pct"/>
            <w:vMerge/>
            <w:vAlign w:val="center"/>
          </w:tcPr>
          <w:p w:rsidR="002E23FB" w:rsidRPr="002E23FB" w:rsidRDefault="002E23FB" w:rsidP="002E23FB">
            <w:pPr>
              <w:spacing w:before="100" w:beforeAutospacing="1" w:after="100" w:afterAutospacing="1" w:line="240" w:lineRule="auto"/>
              <w:rPr>
                <w:rFonts w:ascii="Arial" w:eastAsiaTheme="minorEastAsia" w:hAnsi="Arial" w:cs="Arial"/>
                <w:b/>
                <w:bCs/>
                <w:color w:val="000000"/>
                <w:sz w:val="16"/>
                <w:szCs w:val="16"/>
                <w:lang w:eastAsia="pt-BR"/>
              </w:rPr>
            </w:pPr>
          </w:p>
        </w:tc>
      </w:tr>
      <w:tr w:rsidR="002E23FB" w:rsidRPr="002E23FB" w:rsidTr="00DA2438">
        <w:trPr>
          <w:trHeight w:val="19"/>
          <w:jc w:val="center"/>
        </w:trPr>
        <w:tc>
          <w:tcPr>
            <w:tcW w:w="719"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xml:space="preserve">Até 8.000,00 </w:t>
            </w:r>
            <w:r w:rsidRPr="002E23FB">
              <w:rPr>
                <w:rFonts w:ascii="Arial" w:eastAsiaTheme="minorEastAsia" w:hAnsi="Arial" w:cs="Arial"/>
                <w:b/>
                <w:color w:val="000000"/>
                <w:sz w:val="16"/>
                <w:szCs w:val="16"/>
                <w:lang w:eastAsia="pt-BR"/>
              </w:rPr>
              <w:t>(3)</w:t>
            </w:r>
          </w:p>
        </w:tc>
        <w:tc>
          <w:tcPr>
            <w:tcW w:w="991"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p>
        </w:tc>
        <w:tc>
          <w:tcPr>
            <w:tcW w:w="583"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 .</w:t>
            </w:r>
          </w:p>
        </w:tc>
        <w:tc>
          <w:tcPr>
            <w:tcW w:w="654"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da CVPAF /Gerente Geral GGGAF</w:t>
            </w:r>
          </w:p>
        </w:tc>
        <w:tc>
          <w:tcPr>
            <w:tcW w:w="449"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 .</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da CVPAF/CCONP</w:t>
            </w:r>
          </w:p>
        </w:tc>
        <w:tc>
          <w:tcPr>
            <w:tcW w:w="685" w:type="pct"/>
            <w:gridSpan w:val="2"/>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 GGGAF</w:t>
            </w:r>
          </w:p>
        </w:tc>
        <w:tc>
          <w:tcPr>
            <w:tcW w:w="22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da CVPAF/Gerente Geral GGGAF</w:t>
            </w:r>
          </w:p>
        </w:tc>
        <w:tc>
          <w:tcPr>
            <w:tcW w:w="245"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xml:space="preserve">Limite do Art. 24, Inciso II da Lei </w:t>
            </w:r>
            <w:proofErr w:type="gramStart"/>
            <w:r w:rsidRPr="002E23FB">
              <w:rPr>
                <w:rFonts w:ascii="Arial" w:eastAsiaTheme="minorEastAsia" w:hAnsi="Arial" w:cs="Arial"/>
                <w:color w:val="000000"/>
                <w:sz w:val="16"/>
                <w:szCs w:val="16"/>
                <w:lang w:eastAsia="pt-BR"/>
              </w:rPr>
              <w:t>8666/93</w:t>
            </w:r>
            <w:proofErr w:type="gramEnd"/>
          </w:p>
        </w:tc>
      </w:tr>
      <w:tr w:rsidR="002E23FB" w:rsidRPr="002E23FB" w:rsidTr="00DA2438">
        <w:trPr>
          <w:trHeight w:val="19"/>
          <w:jc w:val="center"/>
        </w:trPr>
        <w:tc>
          <w:tcPr>
            <w:tcW w:w="719"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Até 150.000,00</w:t>
            </w:r>
          </w:p>
        </w:tc>
        <w:tc>
          <w:tcPr>
            <w:tcW w:w="991"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da Área Demandante ou Equivalente/Coordenador CVPAF</w:t>
            </w:r>
          </w:p>
        </w:tc>
        <w:tc>
          <w:tcPr>
            <w:tcW w:w="58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xml:space="preserve">Coordenador CVPAF/ Gerente Geral GGGAF </w:t>
            </w:r>
          </w:p>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p>
        </w:tc>
        <w:tc>
          <w:tcPr>
            <w:tcW w:w="654"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da CVPAF /Gerente Geral GGGAF</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xml:space="preserve">Coordenador CVPAF/ Gerente Geral GGGAF </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GGPAF/GGGAF</w:t>
            </w:r>
          </w:p>
        </w:tc>
        <w:tc>
          <w:tcPr>
            <w:tcW w:w="685" w:type="pct"/>
            <w:gridSpan w:val="2"/>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22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da CVPAF/Gerente Geral GGGAF</w:t>
            </w:r>
          </w:p>
        </w:tc>
        <w:tc>
          <w:tcPr>
            <w:tcW w:w="245"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1,875 x limite da Carta Convite</w:t>
            </w:r>
          </w:p>
        </w:tc>
      </w:tr>
      <w:tr w:rsidR="002E23FB" w:rsidRPr="002E23FB" w:rsidTr="00DA2438">
        <w:trPr>
          <w:trHeight w:val="19"/>
          <w:jc w:val="center"/>
        </w:trPr>
        <w:tc>
          <w:tcPr>
            <w:tcW w:w="719" w:type="pct"/>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lastRenderedPageBreak/>
              <w:t>Até 500.000,00</w:t>
            </w:r>
          </w:p>
        </w:tc>
        <w:tc>
          <w:tcPr>
            <w:tcW w:w="991"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da Área Demandante ou Equivalente/Coordenador CVPAF</w:t>
            </w:r>
          </w:p>
        </w:tc>
        <w:tc>
          <w:tcPr>
            <w:tcW w:w="58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GGPAF/GGGAF</w:t>
            </w:r>
          </w:p>
        </w:tc>
        <w:tc>
          <w:tcPr>
            <w:tcW w:w="654"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GGPAF/GGGAF</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CVPAF/ Gerente Geral GGGAF</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GGPAF/GGGAF</w:t>
            </w:r>
          </w:p>
        </w:tc>
        <w:tc>
          <w:tcPr>
            <w:tcW w:w="685" w:type="pct"/>
            <w:gridSpan w:val="2"/>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22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da CVPAF/Gerente Geral GGGAF</w:t>
            </w:r>
          </w:p>
        </w:tc>
        <w:tc>
          <w:tcPr>
            <w:tcW w:w="245"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xml:space="preserve">Decreto 7689/12; Portaria/GM/MS </w:t>
            </w:r>
            <w:proofErr w:type="gramStart"/>
            <w:r w:rsidRPr="002E23FB">
              <w:rPr>
                <w:rFonts w:ascii="Arial" w:eastAsiaTheme="minorEastAsia" w:hAnsi="Arial" w:cs="Arial"/>
                <w:color w:val="000000"/>
                <w:sz w:val="16"/>
                <w:szCs w:val="16"/>
                <w:lang w:eastAsia="pt-BR"/>
              </w:rPr>
              <w:t>1.338</w:t>
            </w:r>
            <w:proofErr w:type="gramEnd"/>
          </w:p>
        </w:tc>
      </w:tr>
      <w:tr w:rsidR="002E23FB" w:rsidRPr="002E23FB" w:rsidTr="00DA2438">
        <w:trPr>
          <w:trHeight w:val="19"/>
          <w:jc w:val="center"/>
        </w:trPr>
        <w:tc>
          <w:tcPr>
            <w:tcW w:w="719" w:type="pct"/>
            <w:tcBorders>
              <w:bottom w:val="nil"/>
            </w:tcBorders>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Até 1.000.000,00</w:t>
            </w:r>
          </w:p>
        </w:tc>
        <w:tc>
          <w:tcPr>
            <w:tcW w:w="991"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da Área Demandante ou Equivalente</w:t>
            </w:r>
          </w:p>
        </w:tc>
        <w:tc>
          <w:tcPr>
            <w:tcW w:w="58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654"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CVPAF/ Gerente Geral GGGAF</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GGPAF/GGGAF</w:t>
            </w:r>
          </w:p>
        </w:tc>
        <w:tc>
          <w:tcPr>
            <w:tcW w:w="685" w:type="pct"/>
            <w:gridSpan w:val="2"/>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22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 GGGAF</w:t>
            </w:r>
          </w:p>
        </w:tc>
        <w:tc>
          <w:tcPr>
            <w:tcW w:w="245"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Decreto 7689/12; Portaria/GM/MS 1.338/</w:t>
            </w:r>
            <w:proofErr w:type="gramStart"/>
            <w:r w:rsidRPr="002E23FB">
              <w:rPr>
                <w:rFonts w:ascii="Arial" w:eastAsiaTheme="minorEastAsia" w:hAnsi="Arial" w:cs="Arial"/>
                <w:color w:val="000000"/>
                <w:sz w:val="16"/>
                <w:szCs w:val="16"/>
                <w:lang w:eastAsia="pt-BR"/>
              </w:rPr>
              <w:t>12</w:t>
            </w:r>
            <w:proofErr w:type="gramEnd"/>
          </w:p>
        </w:tc>
      </w:tr>
      <w:tr w:rsidR="002E23FB" w:rsidRPr="002E23FB" w:rsidTr="00DA2438">
        <w:trPr>
          <w:trHeight w:val="19"/>
          <w:jc w:val="center"/>
        </w:trPr>
        <w:tc>
          <w:tcPr>
            <w:tcW w:w="719" w:type="pct"/>
            <w:tcBorders>
              <w:top w:val="nil"/>
              <w:left w:val="nil"/>
              <w:bottom w:val="nil"/>
              <w:right w:val="nil"/>
            </w:tcBorders>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Até 10.000.000,00</w:t>
            </w:r>
          </w:p>
        </w:tc>
        <w:tc>
          <w:tcPr>
            <w:tcW w:w="991" w:type="pct"/>
            <w:tcBorders>
              <w:left w:val="nil"/>
            </w:tcBorders>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sz w:val="16"/>
                <w:szCs w:val="16"/>
                <w:lang w:eastAsia="pt-BR"/>
              </w:rPr>
            </w:pPr>
            <w:r w:rsidRPr="002E23FB">
              <w:rPr>
                <w:rFonts w:ascii="Arial" w:eastAsiaTheme="minorEastAsia" w:hAnsi="Arial" w:cs="Arial"/>
                <w:sz w:val="16"/>
                <w:szCs w:val="16"/>
                <w:lang w:eastAsia="pt-BR"/>
              </w:rPr>
              <w:t xml:space="preserve">Gerente Geral da Área Demandante ou Equivalente </w:t>
            </w:r>
          </w:p>
        </w:tc>
        <w:tc>
          <w:tcPr>
            <w:tcW w:w="58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Presidente</w:t>
            </w:r>
          </w:p>
        </w:tc>
        <w:tc>
          <w:tcPr>
            <w:tcW w:w="654"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Presidente</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Coordenador CVPAF/ Gerente Geral GGGAF</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Gerente Geral GGPAF/GGGAF</w:t>
            </w:r>
          </w:p>
        </w:tc>
        <w:tc>
          <w:tcPr>
            <w:tcW w:w="685" w:type="pct"/>
            <w:gridSpan w:val="2"/>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22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sz w:val="16"/>
                <w:szCs w:val="16"/>
                <w:lang w:eastAsia="pt-BR"/>
              </w:rPr>
            </w:pPr>
            <w:r w:rsidRPr="002E23FB">
              <w:rPr>
                <w:rFonts w:ascii="Arial" w:eastAsiaTheme="minorEastAsia" w:hAnsi="Arial" w:cs="Arial"/>
                <w:sz w:val="16"/>
                <w:szCs w:val="16"/>
                <w:lang w:eastAsia="pt-BR"/>
              </w:rPr>
              <w:t xml:space="preserve">Gerente Geral GGPAF/GGGAF </w:t>
            </w:r>
          </w:p>
        </w:tc>
        <w:tc>
          <w:tcPr>
            <w:tcW w:w="245"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Decreto 7689/12; Portaria/GM/MS 1.338/</w:t>
            </w:r>
            <w:proofErr w:type="gramStart"/>
            <w:r w:rsidRPr="002E23FB">
              <w:rPr>
                <w:rFonts w:ascii="Arial" w:eastAsiaTheme="minorEastAsia" w:hAnsi="Arial" w:cs="Arial"/>
                <w:color w:val="000000"/>
                <w:sz w:val="16"/>
                <w:szCs w:val="16"/>
                <w:lang w:eastAsia="pt-BR"/>
              </w:rPr>
              <w:t>12</w:t>
            </w:r>
            <w:proofErr w:type="gramEnd"/>
          </w:p>
        </w:tc>
      </w:tr>
      <w:tr w:rsidR="002E23FB" w:rsidRPr="002E23FB" w:rsidTr="00DA2438">
        <w:trPr>
          <w:trHeight w:val="19"/>
          <w:jc w:val="center"/>
        </w:trPr>
        <w:tc>
          <w:tcPr>
            <w:tcW w:w="719" w:type="pct"/>
            <w:tcBorders>
              <w:top w:val="nil"/>
              <w:left w:val="nil"/>
              <w:bottom w:val="nil"/>
              <w:right w:val="nil"/>
            </w:tcBorders>
            <w:noWrap/>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Acima de 10.000.000,00</w:t>
            </w:r>
          </w:p>
        </w:tc>
        <w:tc>
          <w:tcPr>
            <w:tcW w:w="991" w:type="pct"/>
            <w:tcBorders>
              <w:left w:val="nil"/>
            </w:tcBorders>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Diretoria Colegiada - DICOL</w:t>
            </w:r>
          </w:p>
        </w:tc>
        <w:tc>
          <w:tcPr>
            <w:tcW w:w="58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sz w:val="16"/>
                <w:szCs w:val="16"/>
                <w:lang w:eastAsia="pt-BR"/>
              </w:rPr>
            </w:pPr>
            <w:r w:rsidRPr="002E23FB">
              <w:rPr>
                <w:rFonts w:ascii="Arial" w:eastAsiaTheme="minorEastAsia" w:hAnsi="Arial" w:cs="Arial"/>
                <w:sz w:val="16"/>
                <w:szCs w:val="16"/>
                <w:lang w:eastAsia="pt-BR"/>
              </w:rPr>
              <w:t xml:space="preserve">Ministro de Estado da </w:t>
            </w:r>
          </w:p>
          <w:p w:rsidR="002E23FB" w:rsidRPr="002E23FB" w:rsidRDefault="002E23FB" w:rsidP="002E23FB">
            <w:pPr>
              <w:spacing w:before="100" w:beforeAutospacing="1" w:after="100" w:afterAutospacing="1" w:line="240" w:lineRule="auto"/>
              <w:jc w:val="center"/>
              <w:rPr>
                <w:rFonts w:ascii="Arial" w:eastAsiaTheme="minorEastAsia" w:hAnsi="Arial" w:cs="Arial"/>
                <w:sz w:val="16"/>
                <w:szCs w:val="16"/>
                <w:lang w:eastAsia="pt-BR"/>
              </w:rPr>
            </w:pPr>
            <w:r w:rsidRPr="002E23FB">
              <w:rPr>
                <w:rFonts w:ascii="Arial" w:eastAsiaTheme="minorEastAsia" w:hAnsi="Arial" w:cs="Arial"/>
                <w:sz w:val="16"/>
                <w:szCs w:val="16"/>
                <w:lang w:eastAsia="pt-BR"/>
              </w:rPr>
              <w:t xml:space="preserve">Saúde </w:t>
            </w:r>
            <w:r w:rsidRPr="002E23FB">
              <w:rPr>
                <w:rFonts w:ascii="Arial" w:eastAsiaTheme="minorEastAsia" w:hAnsi="Arial" w:cs="Arial"/>
                <w:b/>
                <w:sz w:val="16"/>
                <w:szCs w:val="16"/>
                <w:lang w:eastAsia="pt-BR"/>
              </w:rPr>
              <w:t>(4)</w:t>
            </w:r>
          </w:p>
        </w:tc>
        <w:tc>
          <w:tcPr>
            <w:tcW w:w="654"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 xml:space="preserve">Ministro de Estado da Saúde </w:t>
            </w:r>
            <w:r w:rsidRPr="002E23FB">
              <w:rPr>
                <w:rFonts w:ascii="Arial" w:eastAsiaTheme="minorEastAsia" w:hAnsi="Arial" w:cs="Arial"/>
                <w:b/>
                <w:sz w:val="16"/>
                <w:szCs w:val="16"/>
                <w:lang w:eastAsia="pt-BR"/>
              </w:rPr>
              <w:t>(4)</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sz w:val="16"/>
                <w:szCs w:val="16"/>
                <w:lang w:eastAsia="pt-BR"/>
              </w:rPr>
            </w:pPr>
            <w:r w:rsidRPr="002E23FB">
              <w:rPr>
                <w:rFonts w:ascii="Arial" w:eastAsiaTheme="minorEastAsia" w:hAnsi="Arial" w:cs="Arial"/>
                <w:sz w:val="16"/>
                <w:szCs w:val="16"/>
                <w:lang w:eastAsia="pt-BR"/>
              </w:rPr>
              <w:t>Coordenador CVPAF/ Gerente Geral GGGAF</w:t>
            </w:r>
          </w:p>
        </w:tc>
        <w:tc>
          <w:tcPr>
            <w:tcW w:w="449"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DIGES</w:t>
            </w:r>
          </w:p>
        </w:tc>
        <w:tc>
          <w:tcPr>
            <w:tcW w:w="685" w:type="pct"/>
            <w:gridSpan w:val="2"/>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Diretor Presidente</w:t>
            </w:r>
          </w:p>
        </w:tc>
        <w:tc>
          <w:tcPr>
            <w:tcW w:w="223"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sz w:val="16"/>
                <w:szCs w:val="16"/>
                <w:lang w:eastAsia="pt-BR"/>
              </w:rPr>
            </w:pPr>
            <w:r w:rsidRPr="002E23FB">
              <w:rPr>
                <w:rFonts w:ascii="Arial" w:eastAsiaTheme="minorEastAsia" w:hAnsi="Arial" w:cs="Arial"/>
                <w:sz w:val="16"/>
                <w:szCs w:val="16"/>
                <w:lang w:eastAsia="pt-BR"/>
              </w:rPr>
              <w:t>Diretor DIGES</w:t>
            </w:r>
          </w:p>
        </w:tc>
        <w:tc>
          <w:tcPr>
            <w:tcW w:w="245" w:type="pct"/>
            <w:vAlign w:val="center"/>
            <w:hideMark/>
          </w:tcPr>
          <w:p w:rsidR="002E23FB" w:rsidRPr="002E23FB" w:rsidRDefault="002E23FB" w:rsidP="002E23FB">
            <w:pPr>
              <w:spacing w:before="100" w:beforeAutospacing="1" w:after="100" w:afterAutospacing="1" w:line="240" w:lineRule="auto"/>
              <w:jc w:val="center"/>
              <w:rPr>
                <w:rFonts w:ascii="Arial" w:eastAsiaTheme="minorEastAsia" w:hAnsi="Arial" w:cs="Arial"/>
                <w:color w:val="000000"/>
                <w:sz w:val="16"/>
                <w:szCs w:val="16"/>
                <w:lang w:eastAsia="pt-BR"/>
              </w:rPr>
            </w:pPr>
            <w:r w:rsidRPr="002E23FB">
              <w:rPr>
                <w:rFonts w:ascii="Arial" w:eastAsiaTheme="minorEastAsia" w:hAnsi="Arial" w:cs="Arial"/>
                <w:color w:val="000000"/>
                <w:sz w:val="16"/>
                <w:szCs w:val="16"/>
                <w:lang w:eastAsia="pt-BR"/>
              </w:rPr>
              <w:t>Decreto 7689/12; Portaria/GM/MS 1.338/</w:t>
            </w:r>
            <w:proofErr w:type="gramStart"/>
            <w:r w:rsidRPr="002E23FB">
              <w:rPr>
                <w:rFonts w:ascii="Arial" w:eastAsiaTheme="minorEastAsia" w:hAnsi="Arial" w:cs="Arial"/>
                <w:color w:val="000000"/>
                <w:sz w:val="16"/>
                <w:szCs w:val="16"/>
                <w:lang w:eastAsia="pt-BR"/>
              </w:rPr>
              <w:t>12</w:t>
            </w:r>
            <w:proofErr w:type="gramEnd"/>
          </w:p>
        </w:tc>
      </w:tr>
      <w:tr w:rsidR="002E23FB" w:rsidRPr="002E23FB" w:rsidTr="00DA2438">
        <w:trPr>
          <w:gridAfter w:val="3"/>
          <w:wAfter w:w="669" w:type="pct"/>
          <w:trHeight w:val="19"/>
          <w:jc w:val="center"/>
        </w:trPr>
        <w:tc>
          <w:tcPr>
            <w:tcW w:w="4331" w:type="pct"/>
            <w:gridSpan w:val="7"/>
            <w:tcBorders>
              <w:top w:val="nil"/>
              <w:left w:val="nil"/>
              <w:bottom w:val="nil"/>
              <w:right w:val="nil"/>
            </w:tcBorders>
            <w:noWrap/>
            <w:vAlign w:val="bottom"/>
            <w:hideMark/>
          </w:tcPr>
          <w:p w:rsidR="002E23FB" w:rsidRPr="002E23FB" w:rsidRDefault="002E23FB" w:rsidP="002E23FB">
            <w:pPr>
              <w:numPr>
                <w:ilvl w:val="0"/>
                <w:numId w:val="2"/>
              </w:numPr>
              <w:spacing w:before="100" w:beforeAutospacing="1" w:after="0" w:afterAutospacing="1" w:line="240" w:lineRule="auto"/>
              <w:ind w:left="284" w:hanging="284"/>
              <w:contextualSpacing/>
              <w:jc w:val="both"/>
              <w:rPr>
                <w:rFonts w:ascii="Times New Roman" w:eastAsia="Times New Roman" w:hAnsi="Times New Roman" w:cs="Times New Roman"/>
                <w:color w:val="000000"/>
                <w:sz w:val="24"/>
                <w:szCs w:val="24"/>
                <w:lang w:eastAsia="pt-BR"/>
              </w:rPr>
            </w:pPr>
            <w:r w:rsidRPr="002E23FB">
              <w:rPr>
                <w:rFonts w:ascii="Times New Roman" w:eastAsia="Times New Roman" w:hAnsi="Times New Roman" w:cs="Times New Roman"/>
                <w:color w:val="000000"/>
                <w:sz w:val="24"/>
                <w:szCs w:val="24"/>
                <w:lang w:eastAsia="pt-BR"/>
              </w:rPr>
              <w:t>A ratificação aplica-se nos casos previstos no art. 26 da Lei 8666/93.</w:t>
            </w:r>
          </w:p>
        </w:tc>
      </w:tr>
      <w:tr w:rsidR="002E23FB" w:rsidRPr="002E23FB" w:rsidTr="00DA2438">
        <w:trPr>
          <w:gridAfter w:val="3"/>
          <w:wAfter w:w="669" w:type="pct"/>
          <w:trHeight w:val="19"/>
          <w:jc w:val="center"/>
        </w:trPr>
        <w:tc>
          <w:tcPr>
            <w:tcW w:w="4331" w:type="pct"/>
            <w:gridSpan w:val="7"/>
            <w:tcBorders>
              <w:top w:val="nil"/>
              <w:left w:val="nil"/>
              <w:bottom w:val="nil"/>
              <w:right w:val="nil"/>
            </w:tcBorders>
            <w:noWrap/>
            <w:vAlign w:val="bottom"/>
          </w:tcPr>
          <w:p w:rsidR="002E23FB" w:rsidRPr="002E23FB" w:rsidRDefault="002E23FB" w:rsidP="002E23FB">
            <w:pPr>
              <w:numPr>
                <w:ilvl w:val="0"/>
                <w:numId w:val="2"/>
              </w:numPr>
              <w:spacing w:before="100" w:beforeAutospacing="1" w:after="0" w:afterAutospacing="1" w:line="240" w:lineRule="auto"/>
              <w:ind w:left="284" w:hanging="284"/>
              <w:contextualSpacing/>
              <w:jc w:val="both"/>
              <w:rPr>
                <w:rFonts w:ascii="Times New Roman" w:eastAsia="Times New Roman" w:hAnsi="Times New Roman" w:cs="Times New Roman"/>
                <w:color w:val="000000"/>
                <w:sz w:val="24"/>
                <w:szCs w:val="24"/>
                <w:lang w:eastAsia="pt-BR"/>
              </w:rPr>
            </w:pPr>
            <w:r w:rsidRPr="002E23FB">
              <w:rPr>
                <w:rFonts w:ascii="Times New Roman" w:eastAsia="Times New Roman" w:hAnsi="Times New Roman" w:cs="Times New Roman"/>
                <w:color w:val="000000"/>
                <w:sz w:val="24"/>
                <w:szCs w:val="24"/>
                <w:lang w:eastAsia="pt-BR"/>
              </w:rPr>
              <w:t xml:space="preserve">Para as contratações que traduzam patrocínio institucional, estas estarão condicionadas à aprovação prévia pela Diretoria Colegiada da ANVISA, independentemente do seu valor. Para locação de bens imóveis, dever-se-á obedecer </w:t>
            </w:r>
            <w:r w:rsidRPr="002E23FB">
              <w:rPr>
                <w:rFonts w:ascii="Times New Roman" w:eastAsia="Times New Roman" w:hAnsi="Times New Roman" w:cs="Times New Roman"/>
                <w:color w:val="000000"/>
                <w:sz w:val="24"/>
                <w:szCs w:val="24"/>
                <w:lang w:eastAsia="pt-BR"/>
              </w:rPr>
              <w:lastRenderedPageBreak/>
              <w:t>ao que dispõe o art. 4º do Decreto</w:t>
            </w:r>
            <w:r w:rsidRPr="002E23FB">
              <w:rPr>
                <w:rFonts w:ascii="Times New Roman" w:eastAsia="Times New Roman" w:hAnsi="Times New Roman" w:cs="Times New Roman"/>
                <w:sz w:val="24"/>
                <w:szCs w:val="24"/>
                <w:lang w:eastAsia="pt-BR"/>
              </w:rPr>
              <w:t xml:space="preserve"> nº</w:t>
            </w:r>
            <w:r w:rsidRPr="002E23FB">
              <w:rPr>
                <w:rFonts w:ascii="Times New Roman" w:eastAsia="Times New Roman" w:hAnsi="Times New Roman" w:cs="Times New Roman"/>
                <w:color w:val="000000"/>
                <w:sz w:val="24"/>
                <w:szCs w:val="24"/>
                <w:lang w:eastAsia="pt-BR"/>
              </w:rPr>
              <w:t xml:space="preserve"> 7.689/12 e o art. 7º da Portaria GM/MS nº 1.338/12.  </w:t>
            </w:r>
          </w:p>
        </w:tc>
      </w:tr>
      <w:tr w:rsidR="002E23FB" w:rsidRPr="002E23FB" w:rsidTr="00DA2438">
        <w:trPr>
          <w:gridAfter w:val="3"/>
          <w:wAfter w:w="669" w:type="pct"/>
          <w:trHeight w:val="19"/>
          <w:jc w:val="center"/>
        </w:trPr>
        <w:tc>
          <w:tcPr>
            <w:tcW w:w="4331" w:type="pct"/>
            <w:gridSpan w:val="7"/>
            <w:tcBorders>
              <w:top w:val="nil"/>
              <w:left w:val="nil"/>
              <w:bottom w:val="nil"/>
              <w:right w:val="nil"/>
            </w:tcBorders>
            <w:noWrap/>
            <w:vAlign w:val="bottom"/>
          </w:tcPr>
          <w:p w:rsidR="002E23FB" w:rsidRPr="002E23FB" w:rsidRDefault="002E23FB" w:rsidP="002E23FB">
            <w:pPr>
              <w:numPr>
                <w:ilvl w:val="0"/>
                <w:numId w:val="2"/>
              </w:numPr>
              <w:spacing w:before="100" w:beforeAutospacing="1" w:after="0" w:afterAutospacing="1" w:line="240" w:lineRule="auto"/>
              <w:ind w:left="284" w:hanging="284"/>
              <w:contextualSpacing/>
              <w:jc w:val="both"/>
              <w:rPr>
                <w:rFonts w:ascii="Times New Roman" w:eastAsia="Times New Roman" w:hAnsi="Times New Roman" w:cs="Times New Roman"/>
                <w:color w:val="000000"/>
                <w:sz w:val="24"/>
                <w:szCs w:val="24"/>
                <w:lang w:eastAsia="pt-BR"/>
              </w:rPr>
            </w:pPr>
            <w:r w:rsidRPr="002E23FB">
              <w:rPr>
                <w:rFonts w:ascii="Times New Roman" w:eastAsia="Times New Roman" w:hAnsi="Times New Roman" w:cs="Times New Roman"/>
                <w:color w:val="000000"/>
                <w:sz w:val="24"/>
                <w:szCs w:val="24"/>
                <w:lang w:eastAsia="pt-BR"/>
              </w:rPr>
              <w:lastRenderedPageBreak/>
              <w:t>Situação exclusiva para inexigibilidade de licitaçã</w:t>
            </w:r>
            <w:r w:rsidRPr="002E23FB">
              <w:rPr>
                <w:rFonts w:ascii="Times New Roman" w:eastAsia="Times New Roman" w:hAnsi="Times New Roman" w:cs="Times New Roman"/>
                <w:i/>
                <w:color w:val="000000"/>
                <w:sz w:val="24"/>
                <w:szCs w:val="24"/>
                <w:lang w:eastAsia="pt-BR"/>
              </w:rPr>
              <w:t>o.</w:t>
            </w:r>
          </w:p>
        </w:tc>
      </w:tr>
      <w:tr w:rsidR="002E23FB" w:rsidRPr="002E23FB" w:rsidTr="00DA2438">
        <w:trPr>
          <w:gridAfter w:val="3"/>
          <w:wAfter w:w="669" w:type="pct"/>
          <w:trHeight w:val="19"/>
          <w:jc w:val="center"/>
        </w:trPr>
        <w:tc>
          <w:tcPr>
            <w:tcW w:w="4331" w:type="pct"/>
            <w:gridSpan w:val="7"/>
            <w:tcBorders>
              <w:top w:val="nil"/>
              <w:left w:val="nil"/>
              <w:bottom w:val="nil"/>
              <w:right w:val="nil"/>
            </w:tcBorders>
            <w:noWrap/>
            <w:vAlign w:val="bottom"/>
          </w:tcPr>
          <w:p w:rsidR="002E23FB" w:rsidRPr="002E23FB" w:rsidRDefault="002E23FB" w:rsidP="002E23FB">
            <w:pPr>
              <w:numPr>
                <w:ilvl w:val="0"/>
                <w:numId w:val="2"/>
              </w:numPr>
              <w:spacing w:before="100" w:beforeAutospacing="1" w:after="0" w:afterAutospacing="1" w:line="240" w:lineRule="auto"/>
              <w:ind w:left="284" w:hanging="284"/>
              <w:contextualSpacing/>
              <w:jc w:val="both"/>
              <w:rPr>
                <w:rFonts w:ascii="Times New Roman" w:eastAsia="Times New Roman" w:hAnsi="Times New Roman" w:cs="Times New Roman"/>
                <w:strike/>
                <w:color w:val="000000"/>
                <w:sz w:val="24"/>
                <w:szCs w:val="24"/>
                <w:lang w:eastAsia="pt-BR"/>
              </w:rPr>
            </w:pPr>
            <w:r w:rsidRPr="002E23FB">
              <w:rPr>
                <w:rFonts w:ascii="Times New Roman" w:eastAsia="Times New Roman" w:hAnsi="Times New Roman" w:cs="Times New Roman"/>
                <w:strike/>
                <w:sz w:val="24"/>
                <w:szCs w:val="24"/>
                <w:lang w:eastAsia="pt-BR"/>
              </w:rPr>
              <w:t>Ministro de Estado da Saúde – Refere-se à autorização</w:t>
            </w:r>
          </w:p>
        </w:tc>
      </w:tr>
      <w:tr w:rsidR="002E23FB" w:rsidRPr="002E23FB" w:rsidTr="00DA2438">
        <w:trPr>
          <w:gridAfter w:val="3"/>
          <w:wAfter w:w="669" w:type="pct"/>
          <w:trHeight w:val="275"/>
          <w:jc w:val="center"/>
        </w:trPr>
        <w:tc>
          <w:tcPr>
            <w:tcW w:w="4331" w:type="pct"/>
            <w:gridSpan w:val="7"/>
            <w:tcBorders>
              <w:top w:val="nil"/>
              <w:left w:val="nil"/>
              <w:bottom w:val="nil"/>
              <w:right w:val="nil"/>
            </w:tcBorders>
            <w:noWrap/>
            <w:vAlign w:val="bottom"/>
          </w:tcPr>
          <w:p w:rsidR="002E23FB" w:rsidRPr="002E23FB" w:rsidRDefault="002E23FB" w:rsidP="002E23FB">
            <w:pPr>
              <w:numPr>
                <w:ilvl w:val="0"/>
                <w:numId w:val="2"/>
              </w:numPr>
              <w:spacing w:before="100" w:beforeAutospacing="1" w:after="0" w:afterAutospacing="1" w:line="240" w:lineRule="auto"/>
              <w:ind w:left="284" w:hanging="284"/>
              <w:contextualSpacing/>
              <w:jc w:val="both"/>
              <w:rPr>
                <w:rFonts w:ascii="Times New Roman" w:eastAsia="Times New Roman" w:hAnsi="Times New Roman" w:cs="Times New Roman"/>
                <w:strike/>
                <w:color w:val="000000"/>
                <w:sz w:val="24"/>
                <w:szCs w:val="24"/>
                <w:lang w:eastAsia="pt-BR"/>
              </w:rPr>
            </w:pPr>
            <w:r w:rsidRPr="002E23FB">
              <w:rPr>
                <w:rFonts w:ascii="Times New Roman" w:eastAsia="Times New Roman" w:hAnsi="Times New Roman" w:cs="Times New Roman"/>
                <w:strike/>
                <w:sz w:val="24"/>
                <w:szCs w:val="24"/>
                <w:lang w:eastAsia="pt-BR"/>
              </w:rPr>
              <w:t xml:space="preserve"> </w:t>
            </w:r>
            <w:proofErr w:type="gramStart"/>
            <w:r w:rsidRPr="002E23FB">
              <w:rPr>
                <w:rFonts w:ascii="Times New Roman" w:eastAsia="Times New Roman" w:hAnsi="Times New Roman" w:cs="Times New Roman"/>
                <w:strike/>
                <w:sz w:val="24"/>
                <w:szCs w:val="24"/>
                <w:lang w:eastAsia="pt-BR"/>
              </w:rPr>
              <w:t>para</w:t>
            </w:r>
            <w:proofErr w:type="gramEnd"/>
            <w:r w:rsidRPr="002E23FB">
              <w:rPr>
                <w:rFonts w:ascii="Times New Roman" w:eastAsia="Times New Roman" w:hAnsi="Times New Roman" w:cs="Times New Roman"/>
                <w:strike/>
                <w:sz w:val="24"/>
                <w:szCs w:val="24"/>
                <w:lang w:eastAsia="pt-BR"/>
              </w:rPr>
              <w:t xml:space="preserve"> nova contratação ou prorrogações contratuais, nos termos do § 1º do art. 2º do Decreto nº 7.689/12 e o art. 3º </w:t>
            </w:r>
            <w:r w:rsidRPr="002E23FB">
              <w:rPr>
                <w:rFonts w:ascii="Times New Roman" w:eastAsia="Times New Roman" w:hAnsi="Times New Roman" w:cs="Times New Roman"/>
                <w:strike/>
                <w:color w:val="000000"/>
                <w:sz w:val="24"/>
                <w:szCs w:val="24"/>
                <w:lang w:eastAsia="pt-BR"/>
              </w:rPr>
              <w:t>da Portaria GM/MS nº 1.338/12</w:t>
            </w:r>
            <w:r w:rsidRPr="002E23FB">
              <w:rPr>
                <w:rFonts w:ascii="Times New Roman" w:eastAsia="Times New Roman" w:hAnsi="Times New Roman" w:cs="Times New Roman"/>
                <w:strike/>
                <w:sz w:val="24"/>
                <w:szCs w:val="24"/>
                <w:lang w:eastAsia="pt-BR"/>
              </w:rPr>
              <w:t>.</w:t>
            </w:r>
          </w:p>
          <w:p w:rsidR="002E23FB" w:rsidRPr="002E23FB" w:rsidRDefault="002E23FB" w:rsidP="002E23FB">
            <w:pPr>
              <w:autoSpaceDE w:val="0"/>
              <w:autoSpaceDN w:val="0"/>
              <w:adjustRightInd w:val="0"/>
              <w:spacing w:after="0" w:line="240" w:lineRule="auto"/>
              <w:rPr>
                <w:rFonts w:ascii="Times New Roman" w:eastAsia="Times New Roman" w:hAnsi="Times New Roman" w:cs="Times New Roman"/>
                <w:color w:val="000000"/>
                <w:sz w:val="24"/>
                <w:szCs w:val="24"/>
                <w:lang w:eastAsia="pt-BR"/>
              </w:rPr>
            </w:pPr>
            <w:r w:rsidRPr="002E23FB">
              <w:rPr>
                <w:rFonts w:ascii="Times New Roman" w:eastAsia="Times New Roman" w:hAnsi="Times New Roman" w:cs="Times New Roman"/>
                <w:color w:val="000000"/>
                <w:sz w:val="24"/>
                <w:szCs w:val="24"/>
                <w:lang w:eastAsia="pt-BR"/>
              </w:rPr>
              <w:t>(4) Ministro de Estado da Saúde - Refere-se à autorização para nova contratação ou prorrogações contratuais, nos termos do §</w:t>
            </w:r>
            <w:proofErr w:type="gramStart"/>
            <w:r w:rsidRPr="002E23FB">
              <w:rPr>
                <w:rFonts w:ascii="Times New Roman" w:eastAsia="Times New Roman" w:hAnsi="Times New Roman" w:cs="Times New Roman"/>
                <w:color w:val="000000"/>
                <w:sz w:val="24"/>
                <w:szCs w:val="24"/>
                <w:lang w:eastAsia="pt-BR"/>
              </w:rPr>
              <w:t>1°</w:t>
            </w:r>
            <w:proofErr w:type="gramEnd"/>
          </w:p>
          <w:p w:rsidR="002E23FB" w:rsidRPr="002E23FB" w:rsidRDefault="002E23FB" w:rsidP="002E23FB">
            <w:pPr>
              <w:autoSpaceDE w:val="0"/>
              <w:autoSpaceDN w:val="0"/>
              <w:adjustRightInd w:val="0"/>
              <w:spacing w:after="0" w:line="240" w:lineRule="auto"/>
              <w:rPr>
                <w:rFonts w:ascii="Times New Roman" w:eastAsia="Times New Roman" w:hAnsi="Times New Roman" w:cs="Times New Roman"/>
                <w:color w:val="000000"/>
                <w:sz w:val="24"/>
                <w:szCs w:val="24"/>
                <w:lang w:eastAsia="pt-BR"/>
              </w:rPr>
            </w:pPr>
            <w:proofErr w:type="gramStart"/>
            <w:r w:rsidRPr="002E23FB">
              <w:rPr>
                <w:rFonts w:ascii="Times New Roman" w:eastAsia="Times New Roman" w:hAnsi="Times New Roman" w:cs="Times New Roman"/>
                <w:color w:val="000000"/>
                <w:sz w:val="24"/>
                <w:szCs w:val="24"/>
                <w:lang w:eastAsia="pt-BR"/>
              </w:rPr>
              <w:t>do</w:t>
            </w:r>
            <w:proofErr w:type="gramEnd"/>
            <w:r w:rsidRPr="002E23FB">
              <w:rPr>
                <w:rFonts w:ascii="Times New Roman" w:eastAsia="Times New Roman" w:hAnsi="Times New Roman" w:cs="Times New Roman"/>
                <w:color w:val="000000"/>
                <w:sz w:val="24"/>
                <w:szCs w:val="24"/>
                <w:lang w:eastAsia="pt-BR"/>
              </w:rPr>
              <w:t xml:space="preserve"> art. 2° do Decreto nº 7.689/12 e o art. 3º da Portaria GM/MS nº1.338/12</w:t>
            </w:r>
            <w:r w:rsidRPr="002E23FB">
              <w:rPr>
                <w:rFonts w:ascii="Times New Roman" w:eastAsiaTheme="minorEastAsia" w:hAnsi="Times New Roman" w:cs="Times New Roman"/>
                <w:b/>
                <w:color w:val="0000FF"/>
                <w:sz w:val="24"/>
                <w:szCs w:val="24"/>
                <w:lang w:eastAsia="pt-BR"/>
              </w:rPr>
              <w:t xml:space="preserve"> (Retificada em DOU nº 214, de 04 de novembro de 2013)</w:t>
            </w:r>
          </w:p>
          <w:p w:rsidR="002E23FB" w:rsidRPr="002E23FB" w:rsidRDefault="002E23FB" w:rsidP="002E23FB">
            <w:pPr>
              <w:spacing w:after="0" w:line="240" w:lineRule="auto"/>
              <w:ind w:left="284"/>
              <w:contextualSpacing/>
              <w:jc w:val="both"/>
              <w:rPr>
                <w:rFonts w:ascii="Times New Roman" w:eastAsia="Times New Roman" w:hAnsi="Times New Roman" w:cs="Times New Roman"/>
                <w:strike/>
                <w:color w:val="000000"/>
                <w:sz w:val="24"/>
                <w:szCs w:val="24"/>
                <w:lang w:eastAsia="pt-BR"/>
              </w:rPr>
            </w:pPr>
          </w:p>
        </w:tc>
      </w:tr>
    </w:tbl>
    <w:p w:rsidR="002E23FB" w:rsidRPr="002E23FB" w:rsidRDefault="002E23FB" w:rsidP="002E23FB">
      <w:pPr>
        <w:tabs>
          <w:tab w:val="left" w:pos="6300"/>
        </w:tabs>
        <w:spacing w:before="750" w:after="300" w:line="240" w:lineRule="auto"/>
        <w:rPr>
          <w:rFonts w:ascii="Arial" w:eastAsiaTheme="minorEastAsia" w:hAnsi="Arial" w:cs="Arial"/>
          <w:bCs/>
          <w:color w:val="003366"/>
          <w:sz w:val="20"/>
          <w:szCs w:val="20"/>
          <w:lang w:eastAsia="pt-BR"/>
        </w:rPr>
      </w:pPr>
    </w:p>
    <w:p w:rsidR="002E23FB" w:rsidRDefault="002E23FB" w:rsidP="00BB7B0F"/>
    <w:p w:rsidR="002E23FB" w:rsidRPr="002E23FB" w:rsidRDefault="002E23FB" w:rsidP="002E23FB"/>
    <w:sectPr w:rsidR="002E23FB" w:rsidRPr="002E23FB" w:rsidSect="002E23FB">
      <w:headerReference w:type="default" r:id="rId11"/>
      <w:footerReference w:type="default" r:id="rId12"/>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7AC" w:rsidRDefault="00B517AC" w:rsidP="00B517AC">
      <w:pPr>
        <w:spacing w:after="0" w:line="240" w:lineRule="auto"/>
      </w:pPr>
      <w:r>
        <w:separator/>
      </w:r>
    </w:p>
  </w:endnote>
  <w:endnote w:type="continuationSeparator" w:id="0">
    <w:p w:rsidR="00B517AC" w:rsidRDefault="00B517AC" w:rsidP="00B5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B" w:rsidRPr="00C640FA" w:rsidRDefault="002E23FB" w:rsidP="00C640FA">
    <w:pPr>
      <w:tabs>
        <w:tab w:val="center" w:pos="4252"/>
        <w:tab w:val="right" w:pos="8504"/>
      </w:tabs>
      <w:spacing w:after="0"/>
      <w:jc w:val="center"/>
    </w:pPr>
    <w:r w:rsidRPr="00C640FA">
      <w:rPr>
        <w:color w:val="943634" w:themeColor="accent2" w:themeShade="BF"/>
      </w:rPr>
      <w:t>Este texto não substitui o(s) publicado(s) em Diário Oficial da União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7AC" w:rsidRPr="00B517AC" w:rsidRDefault="00B517AC" w:rsidP="00B517AC">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B517AC" w:rsidRDefault="00B517A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7AC" w:rsidRDefault="00B517AC" w:rsidP="00B517AC">
      <w:pPr>
        <w:spacing w:after="0" w:line="240" w:lineRule="auto"/>
      </w:pPr>
      <w:r>
        <w:separator/>
      </w:r>
    </w:p>
  </w:footnote>
  <w:footnote w:type="continuationSeparator" w:id="0">
    <w:p w:rsidR="00B517AC" w:rsidRDefault="00B517AC" w:rsidP="00B517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B" w:rsidRPr="00C640FA" w:rsidRDefault="002E23FB" w:rsidP="00C640FA">
    <w:pPr>
      <w:tabs>
        <w:tab w:val="center" w:pos="4252"/>
        <w:tab w:val="right" w:pos="8504"/>
      </w:tabs>
      <w:spacing w:after="0"/>
      <w:jc w:val="center"/>
    </w:pPr>
    <w:r w:rsidRPr="00C640FA">
      <w:rPr>
        <w:noProof/>
        <w:lang w:eastAsia="pt-BR"/>
      </w:rPr>
      <w:drawing>
        <wp:inline distT="0" distB="0" distL="0" distR="0" wp14:anchorId="48583854" wp14:editId="7B75D2EB">
          <wp:extent cx="666750" cy="657085"/>
          <wp:effectExtent l="19050" t="0" r="0" b="0"/>
          <wp:docPr id="5" name="Imagem 5"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2E23FB" w:rsidRPr="00C640FA" w:rsidRDefault="002E23FB" w:rsidP="00C640FA">
    <w:pPr>
      <w:tabs>
        <w:tab w:val="center" w:pos="4252"/>
        <w:tab w:val="right" w:pos="8504"/>
      </w:tabs>
      <w:spacing w:after="0"/>
      <w:jc w:val="center"/>
      <w:rPr>
        <w:b/>
      </w:rPr>
    </w:pPr>
    <w:r w:rsidRPr="00C640FA">
      <w:rPr>
        <w:b/>
      </w:rPr>
      <w:t>Ministério da Saúde - MS</w:t>
    </w:r>
  </w:p>
  <w:p w:rsidR="002E23FB" w:rsidRPr="00C640FA" w:rsidRDefault="002E23FB" w:rsidP="00C640FA">
    <w:pPr>
      <w:tabs>
        <w:tab w:val="center" w:pos="4252"/>
        <w:tab w:val="right" w:pos="8504"/>
      </w:tabs>
      <w:spacing w:after="0"/>
      <w:jc w:val="center"/>
      <w:rPr>
        <w:b/>
      </w:rPr>
    </w:pPr>
    <w:r w:rsidRPr="00C640FA">
      <w:rPr>
        <w:b/>
      </w:rPr>
      <w:t>Agência Nacional de Vigilância Sanitária - ANVISA</w:t>
    </w:r>
  </w:p>
  <w:p w:rsidR="002E23FB" w:rsidRPr="00C640FA" w:rsidRDefault="002E23F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7AC" w:rsidRPr="00B517AC" w:rsidRDefault="00B517AC" w:rsidP="00B517AC">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A11957B" wp14:editId="5FA03ED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B517AC" w:rsidRPr="00B517AC" w:rsidRDefault="00B517A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B517AC" w:rsidRPr="00B517AC" w:rsidRDefault="00B517AC" w:rsidP="00B517AC">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B517AC" w:rsidRDefault="00B517A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B6D79"/>
    <w:multiLevelType w:val="hybridMultilevel"/>
    <w:tmpl w:val="144E4558"/>
    <w:lvl w:ilvl="0" w:tplc="7BFCF2D2">
      <w:start w:val="1"/>
      <w:numFmt w:val="upperRoman"/>
      <w:lvlText w:val="%1-"/>
      <w:lvlJc w:val="left"/>
      <w:pPr>
        <w:ind w:left="1146" w:hanging="720"/>
      </w:pPr>
      <w:rPr>
        <w:rFonts w:cs="Times New Roman" w:hint="default"/>
      </w:rPr>
    </w:lvl>
    <w:lvl w:ilvl="1" w:tplc="04160019" w:tentative="1">
      <w:start w:val="1"/>
      <w:numFmt w:val="lowerLetter"/>
      <w:lvlText w:val="%2."/>
      <w:lvlJc w:val="left"/>
      <w:pPr>
        <w:ind w:left="1506" w:hanging="360"/>
      </w:pPr>
      <w:rPr>
        <w:rFonts w:cs="Times New Roman"/>
      </w:rPr>
    </w:lvl>
    <w:lvl w:ilvl="2" w:tplc="0416001B" w:tentative="1">
      <w:start w:val="1"/>
      <w:numFmt w:val="lowerRoman"/>
      <w:lvlText w:val="%3."/>
      <w:lvlJc w:val="right"/>
      <w:pPr>
        <w:ind w:left="2226" w:hanging="180"/>
      </w:pPr>
      <w:rPr>
        <w:rFonts w:cs="Times New Roman"/>
      </w:rPr>
    </w:lvl>
    <w:lvl w:ilvl="3" w:tplc="0416000F" w:tentative="1">
      <w:start w:val="1"/>
      <w:numFmt w:val="decimal"/>
      <w:lvlText w:val="%4."/>
      <w:lvlJc w:val="left"/>
      <w:pPr>
        <w:ind w:left="2946" w:hanging="360"/>
      </w:pPr>
      <w:rPr>
        <w:rFonts w:cs="Times New Roman"/>
      </w:rPr>
    </w:lvl>
    <w:lvl w:ilvl="4" w:tplc="04160019" w:tentative="1">
      <w:start w:val="1"/>
      <w:numFmt w:val="lowerLetter"/>
      <w:lvlText w:val="%5."/>
      <w:lvlJc w:val="left"/>
      <w:pPr>
        <w:ind w:left="3666" w:hanging="360"/>
      </w:pPr>
      <w:rPr>
        <w:rFonts w:cs="Times New Roman"/>
      </w:rPr>
    </w:lvl>
    <w:lvl w:ilvl="5" w:tplc="0416001B" w:tentative="1">
      <w:start w:val="1"/>
      <w:numFmt w:val="lowerRoman"/>
      <w:lvlText w:val="%6."/>
      <w:lvlJc w:val="right"/>
      <w:pPr>
        <w:ind w:left="4386" w:hanging="180"/>
      </w:pPr>
      <w:rPr>
        <w:rFonts w:cs="Times New Roman"/>
      </w:rPr>
    </w:lvl>
    <w:lvl w:ilvl="6" w:tplc="0416000F" w:tentative="1">
      <w:start w:val="1"/>
      <w:numFmt w:val="decimal"/>
      <w:lvlText w:val="%7."/>
      <w:lvlJc w:val="left"/>
      <w:pPr>
        <w:ind w:left="5106" w:hanging="360"/>
      </w:pPr>
      <w:rPr>
        <w:rFonts w:cs="Times New Roman"/>
      </w:rPr>
    </w:lvl>
    <w:lvl w:ilvl="7" w:tplc="04160019" w:tentative="1">
      <w:start w:val="1"/>
      <w:numFmt w:val="lowerLetter"/>
      <w:lvlText w:val="%8."/>
      <w:lvlJc w:val="left"/>
      <w:pPr>
        <w:ind w:left="5826" w:hanging="360"/>
      </w:pPr>
      <w:rPr>
        <w:rFonts w:cs="Times New Roman"/>
      </w:rPr>
    </w:lvl>
    <w:lvl w:ilvl="8" w:tplc="0416001B" w:tentative="1">
      <w:start w:val="1"/>
      <w:numFmt w:val="lowerRoman"/>
      <w:lvlText w:val="%9."/>
      <w:lvlJc w:val="right"/>
      <w:pPr>
        <w:ind w:left="6546" w:hanging="180"/>
      </w:pPr>
      <w:rPr>
        <w:rFonts w:cs="Times New Roman"/>
      </w:rPr>
    </w:lvl>
  </w:abstractNum>
  <w:abstractNum w:abstractNumId="1">
    <w:nsid w:val="6C042F95"/>
    <w:multiLevelType w:val="hybridMultilevel"/>
    <w:tmpl w:val="61D83276"/>
    <w:lvl w:ilvl="0" w:tplc="E19E08E6">
      <w:start w:val="1"/>
      <w:numFmt w:val="decimal"/>
      <w:lvlText w:val="(%1)"/>
      <w:lvlJc w:val="left"/>
      <w:pPr>
        <w:ind w:left="3479"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7AC"/>
    <w:rsid w:val="001D2337"/>
    <w:rsid w:val="002E23FB"/>
    <w:rsid w:val="00810882"/>
    <w:rsid w:val="00A270FC"/>
    <w:rsid w:val="00B517AC"/>
    <w:rsid w:val="00BB7B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17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7AC"/>
  </w:style>
  <w:style w:type="paragraph" w:styleId="Rodap">
    <w:name w:val="footer"/>
    <w:basedOn w:val="Normal"/>
    <w:link w:val="RodapChar"/>
    <w:uiPriority w:val="99"/>
    <w:unhideWhenUsed/>
    <w:rsid w:val="00B517AC"/>
    <w:pPr>
      <w:tabs>
        <w:tab w:val="center" w:pos="4252"/>
        <w:tab w:val="right" w:pos="8504"/>
      </w:tabs>
      <w:spacing w:after="0" w:line="240" w:lineRule="auto"/>
    </w:pPr>
  </w:style>
  <w:style w:type="character" w:customStyle="1" w:styleId="RodapChar">
    <w:name w:val="Rodapé Char"/>
    <w:basedOn w:val="Fontepargpadro"/>
    <w:link w:val="Rodap"/>
    <w:uiPriority w:val="99"/>
    <w:rsid w:val="00B517AC"/>
  </w:style>
  <w:style w:type="paragraph" w:styleId="Textodebalo">
    <w:name w:val="Balloon Text"/>
    <w:basedOn w:val="Normal"/>
    <w:link w:val="TextodebaloChar"/>
    <w:uiPriority w:val="99"/>
    <w:semiHidden/>
    <w:unhideWhenUsed/>
    <w:rsid w:val="00B517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17AC"/>
    <w:rPr>
      <w:rFonts w:ascii="Tahoma" w:hAnsi="Tahoma" w:cs="Tahoma"/>
      <w:sz w:val="16"/>
      <w:szCs w:val="16"/>
    </w:rPr>
  </w:style>
  <w:style w:type="table" w:styleId="Tabelacomgrade">
    <w:name w:val="Table Grid"/>
    <w:basedOn w:val="Tabelanormal"/>
    <w:uiPriority w:val="59"/>
    <w:rsid w:val="00BB7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17A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17AC"/>
  </w:style>
  <w:style w:type="paragraph" w:styleId="Rodap">
    <w:name w:val="footer"/>
    <w:basedOn w:val="Normal"/>
    <w:link w:val="RodapChar"/>
    <w:uiPriority w:val="99"/>
    <w:unhideWhenUsed/>
    <w:rsid w:val="00B517AC"/>
    <w:pPr>
      <w:tabs>
        <w:tab w:val="center" w:pos="4252"/>
        <w:tab w:val="right" w:pos="8504"/>
      </w:tabs>
      <w:spacing w:after="0" w:line="240" w:lineRule="auto"/>
    </w:pPr>
  </w:style>
  <w:style w:type="character" w:customStyle="1" w:styleId="RodapChar">
    <w:name w:val="Rodapé Char"/>
    <w:basedOn w:val="Fontepargpadro"/>
    <w:link w:val="Rodap"/>
    <w:uiPriority w:val="99"/>
    <w:rsid w:val="00B517AC"/>
  </w:style>
  <w:style w:type="paragraph" w:styleId="Textodebalo">
    <w:name w:val="Balloon Text"/>
    <w:basedOn w:val="Normal"/>
    <w:link w:val="TextodebaloChar"/>
    <w:uiPriority w:val="99"/>
    <w:semiHidden/>
    <w:unhideWhenUsed/>
    <w:rsid w:val="00B517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17AC"/>
    <w:rPr>
      <w:rFonts w:ascii="Tahoma" w:hAnsi="Tahoma" w:cs="Tahoma"/>
      <w:sz w:val="16"/>
      <w:szCs w:val="16"/>
    </w:rPr>
  </w:style>
  <w:style w:type="table" w:styleId="Tabelacomgrade">
    <w:name w:val="Table Grid"/>
    <w:basedOn w:val="Tabelanormal"/>
    <w:uiPriority w:val="59"/>
    <w:rsid w:val="00BB7B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D94091-E4FD-4E4D-9048-F4B5CA465FA7}">
  <ds:schemaRefs>
    <ds:schemaRef ds:uri="http://schemas.openxmlformats.org/officeDocument/2006/bibliography"/>
  </ds:schemaRefs>
</ds:datastoreItem>
</file>

<file path=customXml/itemProps2.xml><?xml version="1.0" encoding="utf-8"?>
<ds:datastoreItem xmlns:ds="http://schemas.openxmlformats.org/officeDocument/2006/customXml" ds:itemID="{60D9DA24-4EF3-4E23-9C9F-5BFB74ECC7D2}"/>
</file>

<file path=customXml/itemProps3.xml><?xml version="1.0" encoding="utf-8"?>
<ds:datastoreItem xmlns:ds="http://schemas.openxmlformats.org/officeDocument/2006/customXml" ds:itemID="{145E12BC-AEFD-4150-9EE9-0B598EEFF612}"/>
</file>

<file path=customXml/itemProps4.xml><?xml version="1.0" encoding="utf-8"?>
<ds:datastoreItem xmlns:ds="http://schemas.openxmlformats.org/officeDocument/2006/customXml" ds:itemID="{2F9B1EB1-1F36-4D85-9862-6EA92C514350}"/>
</file>

<file path=docProps/app.xml><?xml version="1.0" encoding="utf-8"?>
<Properties xmlns="http://schemas.openxmlformats.org/officeDocument/2006/extended-properties" xmlns:vt="http://schemas.openxmlformats.org/officeDocument/2006/docPropsVTypes">
  <Template>Normal</Template>
  <TotalTime>4</TotalTime>
  <Pages>6</Pages>
  <Words>1326</Words>
  <Characters>7165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THAIS.PEREIRA</dc:creator>
  <cp:lastModifiedBy>Raianne Liberal Coutinho</cp:lastModifiedBy>
  <cp:revision>4</cp:revision>
  <cp:lastPrinted>2016-08-17T17:57:00Z</cp:lastPrinted>
  <dcterms:created xsi:type="dcterms:W3CDTF">2016-08-16T12:03:00Z</dcterms:created>
  <dcterms:modified xsi:type="dcterms:W3CDTF">2016-08-19T17:10:00Z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