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D9D7" w14:textId="2B38C707" w:rsidR="00732FAE" w:rsidRPr="006D6F5B" w:rsidRDefault="00732FA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6F5B">
        <w:rPr>
          <w:rFonts w:ascii="Times New Roman" w:hAnsi="Times New Roman"/>
          <w:b/>
          <w:sz w:val="24"/>
          <w:szCs w:val="24"/>
        </w:rPr>
        <w:t xml:space="preserve">INSTRUÇÃO NORMATIVA - IN Nº </w:t>
      </w:r>
      <w:r w:rsidR="0007447C" w:rsidRPr="006D6F5B">
        <w:rPr>
          <w:rFonts w:ascii="Times New Roman" w:hAnsi="Times New Roman"/>
          <w:b/>
          <w:sz w:val="24"/>
          <w:szCs w:val="24"/>
        </w:rPr>
        <w:t>4</w:t>
      </w:r>
      <w:r w:rsidR="002E7327">
        <w:rPr>
          <w:rFonts w:ascii="Times New Roman" w:hAnsi="Times New Roman"/>
          <w:b/>
          <w:sz w:val="24"/>
          <w:szCs w:val="24"/>
        </w:rPr>
        <w:t>6</w:t>
      </w:r>
      <w:r w:rsidR="0007447C" w:rsidRPr="006D6F5B">
        <w:rPr>
          <w:rFonts w:ascii="Times New Roman" w:hAnsi="Times New Roman"/>
          <w:b/>
          <w:sz w:val="24"/>
          <w:szCs w:val="24"/>
        </w:rPr>
        <w:t xml:space="preserve">, DE 21 DE </w:t>
      </w:r>
      <w:r w:rsidR="004A3271" w:rsidRPr="006D6F5B">
        <w:rPr>
          <w:rFonts w:ascii="Times New Roman" w:hAnsi="Times New Roman"/>
          <w:b/>
          <w:sz w:val="24"/>
          <w:szCs w:val="24"/>
        </w:rPr>
        <w:t>AGOSTO DE 2019</w:t>
      </w:r>
    </w:p>
    <w:p w14:paraId="7002ECA6" w14:textId="2860ACB8" w:rsidR="005501EC" w:rsidRPr="006D6F5B" w:rsidRDefault="005501EC" w:rsidP="00190B8E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D6F5B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CA1660" w:rsidRPr="006D6F5B">
        <w:rPr>
          <w:rFonts w:ascii="Times New Roman" w:hAnsi="Times New Roman"/>
          <w:b/>
          <w:color w:val="0000FF"/>
          <w:sz w:val="24"/>
          <w:szCs w:val="24"/>
        </w:rPr>
        <w:t>162, de 22 de agosto de 2019)</w:t>
      </w:r>
    </w:p>
    <w:p w14:paraId="254B4446" w14:textId="77777777" w:rsidR="00190B8E" w:rsidRDefault="00190B8E" w:rsidP="00190B8E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Dispõe sobre as Boas Práticas de Fabricação complementares a Medicamentos Hemoderivados.</w:t>
      </w:r>
    </w:p>
    <w:p w14:paraId="0EA5286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0C762F1F" w14:textId="70A89691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CAPÍTULO I</w:t>
      </w:r>
    </w:p>
    <w:p w14:paraId="073969E1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DISPOSIÇÕES INICIAIS</w:t>
      </w:r>
    </w:p>
    <w:p w14:paraId="5BD2FC2F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</w:t>
      </w:r>
    </w:p>
    <w:p w14:paraId="7BCA1DE3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 objetivo</w:t>
      </w:r>
    </w:p>
    <w:p w14:paraId="7FFCBB25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1º Esta Instrução Normativa possui o objetivo de adotar as diretrizes de Boas Práticas de Fabricação de Medicamentos Hemoderivados do Esquema de Cooperação em Inspeção Farmacêutica, PIC/S, como requisitos complementares a serem seguidos na fabricação de medicamentos hemoderivados em adição às Diretrizes Gerais de Boas Práticas de Fabricação de Medicamentos.</w:t>
      </w:r>
    </w:p>
    <w:p w14:paraId="26BF4914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II</w:t>
      </w:r>
    </w:p>
    <w:p w14:paraId="33153AC8" w14:textId="77777777" w:rsidR="00190B8E" w:rsidRDefault="00190B8E" w:rsidP="00190B8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abrangência</w:t>
      </w:r>
    </w:p>
    <w:p w14:paraId="46F7EB9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2º Esta Instrução Normativa se aplica às empresas que realizam as operações envolvidas na fabricação de medicamentos hemoderivados.</w:t>
      </w:r>
    </w:p>
    <w:p w14:paraId="32A8C52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§1° Incluem-se no escopo do caput os materiais de partida, tal como o plasma, utilizados na fabricação dos medicamentos hemoderivados.</w:t>
      </w:r>
    </w:p>
    <w:p w14:paraId="0F36538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§2° Incluem-se no escopo os derivados estáveis do plasma humano, tal como a albumina, incorporados em outras categorias de produtos, tais como os dispositivos médicos.</w:t>
      </w:r>
    </w:p>
    <w:p w14:paraId="14C6B37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3º Esta Instrução Normativa dispõe diretrizes também para a importação de materiais de partida utilizados na fabricação de hemoderivados.</w:t>
      </w:r>
    </w:p>
    <w:p w14:paraId="3A3B278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4º Esta Instrução Normativa não se aplica aos hemocomponentes destinados a uso transfusional.</w:t>
      </w:r>
    </w:p>
    <w:p w14:paraId="427EA327" w14:textId="3751050A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III</w:t>
      </w:r>
    </w:p>
    <w:p w14:paraId="73FC06E8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definições</w:t>
      </w:r>
    </w:p>
    <w:p w14:paraId="4598B6E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Art. 5º Para efeito desta Instrução Normativa, são adotadas as seguintes definições:</w:t>
      </w:r>
    </w:p>
    <w:p w14:paraId="6E3C410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190B8E">
        <w:rPr>
          <w:rFonts w:ascii="Times New Roman" w:hAnsi="Times New Roman"/>
          <w:sz w:val="24"/>
          <w:szCs w:val="24"/>
        </w:rPr>
        <w:t>arquivo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mestre do plasma /plasma master file (PMF): documento independente, separado do dossiê de registro. Ele fornece todas as informações relevantes e detalhadas sobre as características do plasma humano total utilizado como material de partida e/ou matéria-prima para a fabricação de frações intermediárias, constituintes dos excipientes e substâncias ativas que fazem parte do plasma, medicamentos derivados ou dispositivos médicos;</w:t>
      </w:r>
    </w:p>
    <w:p w14:paraId="1500510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190B8E">
        <w:rPr>
          <w:rFonts w:ascii="Times New Roman" w:hAnsi="Times New Roman"/>
          <w:sz w:val="24"/>
          <w:szCs w:val="24"/>
        </w:rPr>
        <w:t>fracionamento e planta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de fracionamento: O fracionamento é o processo de fabricação em uma planta (planta de fracionamento) durante o qual os componentes do plasma são separados/purificados por vários métodos físicos e químicos, tais como, precipitação e cromatografia;</w:t>
      </w:r>
    </w:p>
    <w:p w14:paraId="655569A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III - hemocomponente: Um constituinte terapêutico do sangue (hemácias, leucócitos, plaquetas e plasma) que pode ser preparado por vários métodos, utilizando a metodologia convencional dos serviços de hemoterapia (por exemplo, centrifugação, filtração, congelação). O conceito não inclui as células progenitoras hematopoiéticas;</w:t>
      </w:r>
    </w:p>
    <w:p w14:paraId="4BF8EA4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190B8E">
        <w:rPr>
          <w:rFonts w:ascii="Times New Roman" w:hAnsi="Times New Roman"/>
          <w:sz w:val="24"/>
          <w:szCs w:val="24"/>
        </w:rPr>
        <w:t>hemoderivados</w:t>
      </w:r>
      <w:proofErr w:type="gramEnd"/>
      <w:r w:rsidRPr="00190B8E">
        <w:rPr>
          <w:rFonts w:ascii="Times New Roman" w:hAnsi="Times New Roman"/>
          <w:sz w:val="24"/>
          <w:szCs w:val="24"/>
        </w:rPr>
        <w:t>: Medicamentos derivados do sangue ou plasma humanos preparados com base em hemocomponentes, por meio de um processo de fracionamento industrial realizado por estabelecimentos públicos ou privados;</w:t>
      </w:r>
    </w:p>
    <w:p w14:paraId="3A3DA43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190B8E">
        <w:rPr>
          <w:rFonts w:ascii="Times New Roman" w:hAnsi="Times New Roman"/>
          <w:sz w:val="24"/>
          <w:szCs w:val="24"/>
        </w:rPr>
        <w:t>plasma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para fracionamento: é a parte líquida do sangue humano remanescente após a separação dos elementos celulares do sangue coletado em um recipiente (bolsa ou garrafa) contendo um anticoagulante, ou separado por filtração contínua ou centrifugação de sangue </w:t>
      </w:r>
      <w:proofErr w:type="spellStart"/>
      <w:r w:rsidRPr="00190B8E">
        <w:rPr>
          <w:rFonts w:ascii="Times New Roman" w:hAnsi="Times New Roman"/>
          <w:sz w:val="24"/>
          <w:szCs w:val="24"/>
        </w:rPr>
        <w:t>anticoagulado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em um procedimento de aférese. Destina-se à fabricação de medicamentos derivados do plasma, em especial albumina, fatores de coagulação e imunoglobulinas de origem humana e especificados nas farmacopeias reconhecidas pela Anvisa;</w:t>
      </w:r>
    </w:p>
    <w:p w14:paraId="25A47EA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190B8E">
        <w:rPr>
          <w:rFonts w:ascii="Times New Roman" w:hAnsi="Times New Roman"/>
          <w:sz w:val="24"/>
          <w:szCs w:val="24"/>
        </w:rPr>
        <w:t>processamento</w:t>
      </w:r>
      <w:proofErr w:type="gramEnd"/>
      <w:r w:rsidRPr="00190B8E">
        <w:rPr>
          <w:rFonts w:ascii="Times New Roman" w:hAnsi="Times New Roman"/>
          <w:sz w:val="24"/>
          <w:szCs w:val="24"/>
        </w:rPr>
        <w:t>: qualquer etapa na preparação do hemocomponente que é realizada entre a coleta do sangue e a extração de um hemocomponente como, por exemplo, separação dos hemocomponentes. Na presente instrução normativa, o processamento se refere, além disso, às operações realizadas nos serviços de hemoterapia que são específicas ao plasma que será utilizado para fracionamento;</w:t>
      </w:r>
    </w:p>
    <w:p w14:paraId="02F0ED8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VII - produto sanguíneo:  qualquer produto terapêutico derivado do sangue ou plasma humano;</w:t>
      </w:r>
    </w:p>
    <w:p w14:paraId="122E32D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VIII - programa de contrato para fracionamento:  contrato de fracionamento em uma planta nacional de um </w:t>
      </w:r>
      <w:proofErr w:type="spellStart"/>
      <w:r w:rsidRPr="00190B8E">
        <w:rPr>
          <w:rFonts w:ascii="Times New Roman" w:hAnsi="Times New Roman"/>
          <w:sz w:val="24"/>
          <w:szCs w:val="24"/>
        </w:rPr>
        <w:t>fracionador</w:t>
      </w:r>
      <w:proofErr w:type="spellEnd"/>
      <w:r w:rsidRPr="00190B8E">
        <w:rPr>
          <w:rFonts w:ascii="Times New Roman" w:hAnsi="Times New Roman"/>
          <w:sz w:val="24"/>
          <w:szCs w:val="24"/>
        </w:rPr>
        <w:t>/fabricante, usando matéria-prima de outros países e fabricando produtos não destinados ao seu mercado doméstico;</w:t>
      </w:r>
    </w:p>
    <w:p w14:paraId="158A083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IX - </w:t>
      </w:r>
      <w:proofErr w:type="gramStart"/>
      <w:r w:rsidRPr="00190B8E">
        <w:rPr>
          <w:rFonts w:ascii="Times New Roman" w:hAnsi="Times New Roman"/>
          <w:sz w:val="24"/>
          <w:szCs w:val="24"/>
        </w:rPr>
        <w:t>sangue</w:t>
      </w:r>
      <w:proofErr w:type="gramEnd"/>
      <w:r w:rsidRPr="00190B8E">
        <w:rPr>
          <w:rFonts w:ascii="Times New Roman" w:hAnsi="Times New Roman"/>
          <w:sz w:val="24"/>
          <w:szCs w:val="24"/>
        </w:rPr>
        <w:t>: sangue total coletado de um único doador (humano) e processado para transfusão ou para fabricação posterior;</w:t>
      </w:r>
    </w:p>
    <w:p w14:paraId="762F627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X - </w:t>
      </w:r>
      <w:proofErr w:type="gramStart"/>
      <w:r w:rsidRPr="00190B8E">
        <w:rPr>
          <w:rFonts w:ascii="Times New Roman" w:hAnsi="Times New Roman"/>
          <w:sz w:val="24"/>
          <w:szCs w:val="24"/>
        </w:rPr>
        <w:t>serviço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de hemoterapia: Qualquer estrutura ou serviço que seja responsável por qualquer aspecto da coleta e testagem de sangue humano e hemocomponentes, qualquer </w:t>
      </w:r>
      <w:r w:rsidRPr="00190B8E">
        <w:rPr>
          <w:rFonts w:ascii="Times New Roman" w:hAnsi="Times New Roman"/>
          <w:sz w:val="24"/>
          <w:szCs w:val="24"/>
        </w:rPr>
        <w:lastRenderedPageBreak/>
        <w:t>que seja sua finalidade pretendida, e seu correspondente processamento, armazenamento e distribuição quando destinados à transfusão.</w:t>
      </w:r>
    </w:p>
    <w:p w14:paraId="6DE0B108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CAPÍTULO II</w:t>
      </w:r>
    </w:p>
    <w:p w14:paraId="5FF40B1B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DISPOSIÇÕES GERAIS</w:t>
      </w:r>
    </w:p>
    <w:p w14:paraId="0616BE1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6º A presente instrução normativa define os requisitos específicos das Boas Práticas de Fabricação (BPF) para as atividades de coleta, processamento, armazenamento e transporte de plasma humano utilizado para fracionamento e para a fabricação de hemoderivados.</w:t>
      </w:r>
    </w:p>
    <w:p w14:paraId="3C694D4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Em princípio, as substâncias ativas utilizadas como material de partida para a produção de hemoderivados devem respeitar os princípios e diretrizes das boas práticas de fabricação.</w:t>
      </w:r>
    </w:p>
    <w:p w14:paraId="381A9A1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7º Os hemoderivados ou medicamentos derivados do sangue ou plasma humano devem cumprir as Diretrizes Gerais de Fabricação de Medicamentos, bem como com seu registro sanitário.</w:t>
      </w:r>
    </w:p>
    <w:p w14:paraId="45FE117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8º Os hemoderivados são considerados como produtos farmacêuticos biológicos e os materiais de partida incluem insumos biológicos, tais como células ou fluidos de origem humana.</w:t>
      </w:r>
    </w:p>
    <w:p w14:paraId="2C758AF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9º Para os materiais de partida derivados do sangue humano e de plasma obtidos nacionalmente, os requisitos nacionais para os serviços de hemoterapia envolvidos na coleta, preparação e testagem devem ser obedecidos.</w:t>
      </w:r>
    </w:p>
    <w:p w14:paraId="0AF6DBE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10. A coleta, preparação e testes devem ser realizadas de acordo com um sistema de qualidade apropriado e para os quais os padrões e especificações devem estar definidos.</w:t>
      </w:r>
    </w:p>
    <w:p w14:paraId="0A9BFC7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11.Os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requisitos nacionais e internacionais sobre rastreabilidade, reações adversas graves e notificações de eventos adversos sérios do doador ao receptor devem ser aplicados.</w:t>
      </w:r>
    </w:p>
    <w:p w14:paraId="4500C5B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12. As monografias relevantes das farmacopeias adotadas devem ser observadas.</w:t>
      </w:r>
    </w:p>
    <w:p w14:paraId="0CF1887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13.Os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materiais de partida para a fabricação de hemoderivados importados de outros países e destinadas para uso ou distribuição dentro do país devem satisfazer às demais normativas vigentes.</w:t>
      </w:r>
    </w:p>
    <w:p w14:paraId="0010319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§1° No caso de programas de contratos de fracionamento, os materiais de partida importados de outros países devem obedecer aos requisitos de qualidade e segurança nacionais ou equivalentes para os hemocomponentes.</w:t>
      </w:r>
    </w:p>
    <w:p w14:paraId="78F4A17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§2° As atividades realizadas no país devem cumprir integralmente com as BPF.</w:t>
      </w:r>
    </w:p>
    <w:p w14:paraId="5BB117D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§3° Deve-se dar atenção às normas e especificações nacionais relativas a um sistema de qualidade para os serviços de hemoterapia, aos requisitos de rastreabilidade e à notificação de reações, evento e incidentes adversos graves, e ainda às diretrizes e recomendações pertinentes da Organização Mundial de Saúde - OMS.</w:t>
      </w:r>
    </w:p>
    <w:p w14:paraId="2CC0A25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14.Os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requisitos específicos para documentação e outras disposições relativas aos materiais de partida dos hemoderivados devem ser definidos no Arquivo Mestre do Plasma.</w:t>
      </w:r>
    </w:p>
    <w:p w14:paraId="38B91BB6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CAPÍTULO III</w:t>
      </w:r>
    </w:p>
    <w:p w14:paraId="44DAA055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DISPOSIÇÕES ESPECÍFICAS</w:t>
      </w:r>
    </w:p>
    <w:p w14:paraId="730982B5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</w:t>
      </w:r>
    </w:p>
    <w:p w14:paraId="66125A4A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 Sistema de Gestão da Qualidade</w:t>
      </w:r>
    </w:p>
    <w:p w14:paraId="2F41AFF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15.O gerenciamento da qualidade deve reger todas as etapas, desde a seleção dos doadores no serviço de hemoterapia até a entrega pelo fabricante do produto acabado.</w:t>
      </w:r>
    </w:p>
    <w:p w14:paraId="0115C54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16.A rastreabilidade de cada doação até a entrega do plasma à planta de fracionamento deve ser assegurada pelo serviço de hemoterapia, por meio de procedimentos precisos de identificação, manutenção de registros e um sistema de rotulagem apropriado de acordo com os requisitos da legislação nacional.</w:t>
      </w:r>
    </w:p>
    <w:p w14:paraId="0F24C66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A rastreabilidade deve ser mantida durante toda a fabricação e distribuição dos produtos acabados pelo fabricante.</w:t>
      </w:r>
    </w:p>
    <w:p w14:paraId="03567E25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17.O sangue ou plasma utilizados como material de partida para a fabricação de hemoderivados deve ser coletado e processado pelos serviços de hemoterapia e testado em laboratórios que cumprem as diretrizes de sistemas de qualidade em conformidade com a legislação nacional.</w:t>
      </w:r>
    </w:p>
    <w:p w14:paraId="2543D10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18.Os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serviços de hemoterapia devem estar autorizados.</w:t>
      </w:r>
    </w:p>
    <w:p w14:paraId="218D5DE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19.Caso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o plasma seja importado de outros países, os fornecedores/serviços de hemoterapia devem ser qualificados e aprovados.</w:t>
      </w:r>
    </w:p>
    <w:p w14:paraId="082A6BB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Eles devem constar nas especificações para matérias-primas conforme definido pela planta/fabricante de fracionamento e aceitos pela autoridade competente.</w:t>
      </w:r>
    </w:p>
    <w:p w14:paraId="5CB7963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20. A qualificação do fornecedor, incluindo auditorias, deve ser realizada pela planta de fracionamento/fabricante do produto acabado em concordância com procedimentos aprovados.</w:t>
      </w:r>
    </w:p>
    <w:p w14:paraId="4B0FC22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§1° Os estabelecimentos responsáveis pelos testes laboratoriais dos materiais fornecidos também devem ser objeto de auditoria.</w:t>
      </w:r>
    </w:p>
    <w:p w14:paraId="333E952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§2° A requalificação de fornecedores deve ser realizada em intervalos regulares, levando em consideração uma abordagem baseada em risco.</w:t>
      </w:r>
    </w:p>
    <w:p w14:paraId="41FADD4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21. A planta de fracionamento/fabricante do produto acabado deve estabelecer acordo técnico de qualidade na forma de contrato escrito com os serviços de hemoterapia, os quais devem incluir, mas não se limitando a:</w:t>
      </w:r>
    </w:p>
    <w:p w14:paraId="6118BE2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 -definição de funções e respectivas responsabilidades;</w:t>
      </w:r>
    </w:p>
    <w:p w14:paraId="03D7F29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II -sistema de qualidade e requisitos de documentação;</w:t>
      </w:r>
    </w:p>
    <w:p w14:paraId="018BDEB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III -critérios de seleção e teste;</w:t>
      </w:r>
    </w:p>
    <w:p w14:paraId="529FD21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IV -requisitos para a separação do sangue em hemocomponentes/plasma;</w:t>
      </w:r>
    </w:p>
    <w:p w14:paraId="3EA9002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V -congelamento de plasma;</w:t>
      </w:r>
    </w:p>
    <w:p w14:paraId="42EF0A1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VI -armazenamento e transporte de plasma;</w:t>
      </w:r>
    </w:p>
    <w:p w14:paraId="3CD6A3B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VII -rastreabilidade e informação pós-doação/coleta (incluindo eventos adversos).</w:t>
      </w:r>
    </w:p>
    <w:p w14:paraId="74A2011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22.Os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resultados dos testes de todas as unidades fornecidas pelo serviço de hemoterapia devem ser disponibilizados para a planta de fracionamento/fabricante do medicamento.</w:t>
      </w:r>
    </w:p>
    <w:p w14:paraId="6B5E18C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23.Qualquer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etapa de fracionamento subcontratada pelo serviço de hemoterapia deve ser definida em acordo técnico de qualidade na forma de contrato escrito.</w:t>
      </w:r>
    </w:p>
    <w:p w14:paraId="03FF65D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24.Um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sistema formal de controle de mudanças deve estar implementado para planejar, avaliar e documentar todas as mudanças que possam afetar a qualidade, a segurança dos produtos ou a rastreabilidade.</w:t>
      </w:r>
    </w:p>
    <w:p w14:paraId="2F03981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§1° O impacto potencial das mudanças propostas deve ser avaliado por este sistema.</w:t>
      </w:r>
    </w:p>
    <w:p w14:paraId="365403D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§2° A necessidade de testes e validação adicionais, especialmente para as etapas de inativação e remoção viral, deve ser determinada.</w:t>
      </w:r>
    </w:p>
    <w:p w14:paraId="3D9373F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25. Deve ser implementada uma estratégia de segurança adequada para minimizar o risco de infecção por agentes infecciosos, incluindo os emergentes.</w:t>
      </w:r>
    </w:p>
    <w:p w14:paraId="1BEFD3F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26. Esta estratégia deve envolver uma avaliação de risco que:</w:t>
      </w:r>
    </w:p>
    <w:p w14:paraId="2871960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190B8E">
        <w:rPr>
          <w:rFonts w:ascii="Times New Roman" w:hAnsi="Times New Roman"/>
          <w:sz w:val="24"/>
          <w:szCs w:val="24"/>
        </w:rPr>
        <w:t>defina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um tempo de quarentena interno antes de se processar o plasma, para que se possibilite a remoção das unidades de </w:t>
      </w:r>
      <w:proofErr w:type="spellStart"/>
      <w:r w:rsidRPr="00190B8E">
        <w:rPr>
          <w:rFonts w:ascii="Times New Roman" w:hAnsi="Times New Roman"/>
          <w:sz w:val="24"/>
          <w:szCs w:val="24"/>
        </w:rPr>
        <w:t>soroconversão</w:t>
      </w:r>
      <w:proofErr w:type="spellEnd"/>
      <w:r w:rsidRPr="00190B8E">
        <w:rPr>
          <w:rFonts w:ascii="Times New Roman" w:hAnsi="Times New Roman"/>
          <w:sz w:val="24"/>
          <w:szCs w:val="24"/>
        </w:rPr>
        <w:t>;</w:t>
      </w:r>
    </w:p>
    <w:p w14:paraId="5F5FD1E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190B8E">
        <w:rPr>
          <w:rFonts w:ascii="Times New Roman" w:hAnsi="Times New Roman"/>
          <w:sz w:val="24"/>
          <w:szCs w:val="24"/>
        </w:rPr>
        <w:t>considere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todos os aspectos das etapas de redução viral e/ou testagem de agentes infecciosos ou substitutos;</w:t>
      </w:r>
    </w:p>
    <w:p w14:paraId="3BF8BCE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III - considere as capacidades de redução de vírus, o tamanho do pool e outros aspectos relevantes dos processos de fabricação.</w:t>
      </w:r>
    </w:p>
    <w:p w14:paraId="2F272BA8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lastRenderedPageBreak/>
        <w:t>Seção II</w:t>
      </w:r>
    </w:p>
    <w:p w14:paraId="0BBA2983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Rastreabilidade e das Medidas Pós Coleta</w:t>
      </w:r>
    </w:p>
    <w:p w14:paraId="0338F2B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27. Deve existir um sistema que permita rastrear cada doação, desde o doador e a doação, passando pelo serviço de hemoterapia até o lote do produto farmacêutico terminado e vice-versa.</w:t>
      </w:r>
    </w:p>
    <w:p w14:paraId="6218A29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28. As responsabilidades pela rastreabilidade do produto devem ser definidas sem falhas para as etapas descritas abaixo:</w:t>
      </w:r>
    </w:p>
    <w:p w14:paraId="19755DC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190B8E">
        <w:rPr>
          <w:rFonts w:ascii="Times New Roman" w:hAnsi="Times New Roman"/>
          <w:sz w:val="24"/>
          <w:szCs w:val="24"/>
        </w:rPr>
        <w:t>do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doador e da doação no serviço de hemoterapia para a planta de fracionamento sendo </w:t>
      </w:r>
      <w:proofErr w:type="spellStart"/>
      <w:r w:rsidRPr="00190B8E">
        <w:rPr>
          <w:rFonts w:ascii="Times New Roman" w:hAnsi="Times New Roman"/>
          <w:sz w:val="24"/>
          <w:szCs w:val="24"/>
        </w:rPr>
        <w:t>esta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de responsabilidade do Responsável Técnico do serviço de hemoterapia;</w:t>
      </w:r>
    </w:p>
    <w:p w14:paraId="44BC909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190B8E">
        <w:rPr>
          <w:rFonts w:ascii="Times New Roman" w:hAnsi="Times New Roman"/>
          <w:sz w:val="24"/>
          <w:szCs w:val="24"/>
        </w:rPr>
        <w:t>da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planta de fracionamento ao fabricante do medicamento e a qualquer instalação secundária, seja fabricante de um medicamento ou de um dispositivo médico sendo </w:t>
      </w:r>
      <w:proofErr w:type="spellStart"/>
      <w:r w:rsidRPr="00190B8E">
        <w:rPr>
          <w:rFonts w:ascii="Times New Roman" w:hAnsi="Times New Roman"/>
          <w:sz w:val="24"/>
          <w:szCs w:val="24"/>
        </w:rPr>
        <w:t>esta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de responsabilidade da Pessoa Delegada pelo Sistema de Gestão da Qualidade Farmacêutica da planta produtora.</w:t>
      </w:r>
    </w:p>
    <w:p w14:paraId="74A8B0C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29.Os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dados necessários para a rastreabilidade completa devem ser armazenados de acordo com a legislação nacional.</w:t>
      </w:r>
    </w:p>
    <w:p w14:paraId="13176B1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30.Os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acordos técnicos de qualidade na forma de contratos escritos celebrados entre os serviços de hemoterapia (incluindo laboratórios analíticos) e a planta de fracionamento/fabricante devem assegurar que as medidas de rastreabilidade e pós-coleta cobrem toda a cadeia desde a coleta do plasma até todos os fabricantes responsáveis pela liberação dos produtos.</w:t>
      </w:r>
    </w:p>
    <w:p w14:paraId="257A7B5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31.Os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serviços de hemoterapia devem notificar a planta de fracionamento/fabricante de qualquer evento que possa afetar a qualidade ou a segurança do produto, incluindo eventos adversos sérios e reações e outras informações relevantes detectadas após a aceitação do doador ou liberação do plasma como, por exemplo, dados de revisão e informações de </w:t>
      </w:r>
      <w:proofErr w:type="spellStart"/>
      <w:r w:rsidRPr="00190B8E">
        <w:rPr>
          <w:rFonts w:ascii="Times New Roman" w:hAnsi="Times New Roman"/>
          <w:sz w:val="24"/>
          <w:szCs w:val="24"/>
        </w:rPr>
        <w:t>hemo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190B8E">
        <w:rPr>
          <w:rFonts w:ascii="Times New Roman" w:hAnsi="Times New Roman"/>
          <w:sz w:val="24"/>
          <w:szCs w:val="24"/>
        </w:rPr>
        <w:t>retrovigilância</w:t>
      </w:r>
      <w:proofErr w:type="spellEnd"/>
      <w:r w:rsidRPr="00190B8E">
        <w:rPr>
          <w:rFonts w:ascii="Times New Roman" w:hAnsi="Times New Roman"/>
          <w:sz w:val="24"/>
          <w:szCs w:val="24"/>
        </w:rPr>
        <w:t>.</w:t>
      </w:r>
    </w:p>
    <w:p w14:paraId="389082A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A notificação também se aplica quando a inspeção de um serviço de hemoterapia por uma autoridade competente levar ao cancelamento de uma licença, certificado ou aprovação existente.</w:t>
      </w:r>
    </w:p>
    <w:p w14:paraId="79A9C63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32.Quando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a planta de fracionamento/fabricante estiver localizada em outro país, as informações devem ser encaminhadas ao fabricante responsável pela liberação no país de qualquer produto fabricado a partir do plasma em questão.</w:t>
      </w:r>
    </w:p>
    <w:p w14:paraId="55730ED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Em ambos os casos, se for relevante para a qualidade ou segurança do produto, esta informação deve ser enviada à autoridade competente responsável pela planta de fracionamento /fabricante, conforme exigido pela legislação nacional.</w:t>
      </w:r>
    </w:p>
    <w:p w14:paraId="5100DCA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33.O gerenciamento de informação pós-coleta deve estar descrito nos procedimentos operacionais padrão e levar em consideração as obrigações e procedimentos para informar as autoridades sanitárias competentes.</w:t>
      </w:r>
    </w:p>
    <w:p w14:paraId="1D7067E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Parágrafo único. As medidas pós-coleta devem ser realizadas conforme definido nas normas nacionais.</w:t>
      </w:r>
    </w:p>
    <w:p w14:paraId="31DDAA9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34.O serviço de hemoterapia e o </w:t>
      </w:r>
      <w:proofErr w:type="spellStart"/>
      <w:r w:rsidRPr="00190B8E">
        <w:rPr>
          <w:rFonts w:ascii="Times New Roman" w:hAnsi="Times New Roman"/>
          <w:sz w:val="24"/>
          <w:szCs w:val="24"/>
        </w:rPr>
        <w:t>fracionador</w:t>
      </w:r>
      <w:proofErr w:type="spellEnd"/>
      <w:r w:rsidRPr="00190B8E">
        <w:rPr>
          <w:rFonts w:ascii="Times New Roman" w:hAnsi="Times New Roman"/>
          <w:sz w:val="24"/>
          <w:szCs w:val="24"/>
        </w:rPr>
        <w:t>/fabricante devem informar um ao outro se, após a doação:</w:t>
      </w:r>
    </w:p>
    <w:p w14:paraId="6F009F55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190B8E">
        <w:rPr>
          <w:rFonts w:ascii="Times New Roman" w:hAnsi="Times New Roman"/>
          <w:sz w:val="24"/>
          <w:szCs w:val="24"/>
        </w:rPr>
        <w:t>verificar-se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que o doador não cumpriu os critérios de saúde relevantes ao doador;</w:t>
      </w:r>
    </w:p>
    <w:p w14:paraId="6AF8F4E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190B8E">
        <w:rPr>
          <w:rFonts w:ascii="Times New Roman" w:hAnsi="Times New Roman"/>
          <w:sz w:val="24"/>
          <w:szCs w:val="24"/>
        </w:rPr>
        <w:t>uma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doação subsequente de um doador anteriormente negativo para marcadores virais foi considerada positiva para qualquer um dos marcadores virais;</w:t>
      </w:r>
    </w:p>
    <w:p w14:paraId="229F7F9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III - for detectado que o teste para marcadores virais não foi realizado de acordo com os procedimentos acordados;</w:t>
      </w:r>
    </w:p>
    <w:p w14:paraId="64B34CF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190B8E">
        <w:rPr>
          <w:rFonts w:ascii="Times New Roman" w:hAnsi="Times New Roman"/>
          <w:sz w:val="24"/>
          <w:szCs w:val="24"/>
        </w:rPr>
        <w:t>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doador desenvolveu uma doença infecciosa causada por um agente potencialmente transmissível por produtos derivados do plasma, tais como, HBV, HCV, HAV e outros vírus da hepatite não A, não B, não C, VIH-1 e 2 e outros agentes à luz do conhecimento atual;</w:t>
      </w:r>
    </w:p>
    <w:p w14:paraId="7BA16B0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190B8E">
        <w:rPr>
          <w:rFonts w:ascii="Times New Roman" w:hAnsi="Times New Roman"/>
          <w:sz w:val="24"/>
          <w:szCs w:val="24"/>
        </w:rPr>
        <w:t>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doador desenvolveu a doença de </w:t>
      </w:r>
      <w:proofErr w:type="spellStart"/>
      <w:r w:rsidRPr="00190B8E">
        <w:rPr>
          <w:rFonts w:ascii="Times New Roman" w:hAnsi="Times New Roman"/>
          <w:sz w:val="24"/>
          <w:szCs w:val="24"/>
        </w:rPr>
        <w:t>Creutzfeldt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-Jakob (DCJ ou </w:t>
      </w:r>
      <w:proofErr w:type="spellStart"/>
      <w:r w:rsidRPr="00190B8E">
        <w:rPr>
          <w:rFonts w:ascii="Times New Roman" w:hAnsi="Times New Roman"/>
          <w:sz w:val="24"/>
          <w:szCs w:val="24"/>
        </w:rPr>
        <w:t>vCJD</w:t>
      </w:r>
      <w:proofErr w:type="spellEnd"/>
      <w:r w:rsidRPr="00190B8E">
        <w:rPr>
          <w:rFonts w:ascii="Times New Roman" w:hAnsi="Times New Roman"/>
          <w:sz w:val="24"/>
          <w:szCs w:val="24"/>
        </w:rPr>
        <w:t>);</w:t>
      </w:r>
    </w:p>
    <w:p w14:paraId="4B16F08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190B8E">
        <w:rPr>
          <w:rFonts w:ascii="Times New Roman" w:hAnsi="Times New Roman"/>
          <w:sz w:val="24"/>
          <w:szCs w:val="24"/>
        </w:rPr>
        <w:t>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receptor de sangue ou de um hemocomponente desenvolveu uma infecção pós-transfusional que implica ou pode ser rastreada até ao doador.</w:t>
      </w:r>
    </w:p>
    <w:p w14:paraId="33CAF655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No caso de qualquer um dos itens acima, uma reavaliação da documentação do lote deverá sempre ser realizada e a necessidade de retirada de determinado lote deverá ser cuidadosamente considerada, levando em consideração critérios como o agente transmissível envolvido, o tamanho do pool, o período de tempo entre doação e a soro conversão, a natureza do produto e seu método de fabricação.</w:t>
      </w:r>
    </w:p>
    <w:p w14:paraId="2CC8C4D7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III</w:t>
      </w:r>
    </w:p>
    <w:p w14:paraId="6AC5690B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instalações e dos equipamentos</w:t>
      </w:r>
    </w:p>
    <w:p w14:paraId="4571A45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35. A fim de minimizar o risco de contaminação microbiológica ou a introdução de material estranho no plasma, o descongelamento e a uniformização das unidades de plasma devem ser efetuados numa área classificada minimamente como Grau D conforme diretrizes de boas práticas vigentes a medicamentos estéreis.</w:t>
      </w:r>
    </w:p>
    <w:p w14:paraId="5192A33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Roupas apropriadas a uma área Grau D devem ser usadas, incluindo máscaras e luvas.</w:t>
      </w:r>
    </w:p>
    <w:p w14:paraId="306F0EB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36.Todas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as outras manipulações em sistema aberto durante o processo de fabricação devem ser feitas sob condições em conformidade com os requisitos apropriados das diretrizes de boas práticas vigentes a medicamentos estéreis.</w:t>
      </w:r>
    </w:p>
    <w:p w14:paraId="3AFCF62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37.O monitoramento ambiental deverá ser realizado regularmente, especialmente durante a abertura dos recipientes de plasma, e durante os processos posteriores de descongelação e uniformização, em conformidade as diretrizes de boas práticas vigentes a medicamentos estéreis.</w:t>
      </w:r>
    </w:p>
    <w:p w14:paraId="36284B6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Art. 38. Na produção de medicamentos derivados de plasma, devem ser utilizados procedimentos adequados de inativação ou remoção viral e devem ser tomadas medidas para evitar a contaminação cruzada de produtos inativados com produtos não inativados.</w:t>
      </w:r>
    </w:p>
    <w:p w14:paraId="24BAC7C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Parágrafo único. Instalações e equipamentos dedicados e diferenciados devem ser usados para etapas </w:t>
      </w:r>
      <w:proofErr w:type="spellStart"/>
      <w:r w:rsidRPr="00190B8E">
        <w:rPr>
          <w:rFonts w:ascii="Times New Roman" w:hAnsi="Times New Roman"/>
          <w:sz w:val="24"/>
          <w:szCs w:val="24"/>
        </w:rPr>
        <w:t>pré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inativação e pós inativação viral.</w:t>
      </w:r>
    </w:p>
    <w:p w14:paraId="23755947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39. A validação dos métodos para redução viral não deve ser realizada nas mesmas instalações usadas para a fabricação para que não se exponha às operações de rotina ao risco de contaminação advindo de processos não validados.</w:t>
      </w:r>
    </w:p>
    <w:p w14:paraId="1466BF2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A validação deve ser realizada de acordo com as recomendações internacionais.</w:t>
      </w:r>
    </w:p>
    <w:p w14:paraId="3FC9F9AC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IV</w:t>
      </w:r>
    </w:p>
    <w:p w14:paraId="1A92C456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fabricação</w:t>
      </w:r>
    </w:p>
    <w:p w14:paraId="2EDD60CC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Subseção I</w:t>
      </w:r>
    </w:p>
    <w:p w14:paraId="39783189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Dos materiais de partida</w:t>
      </w:r>
    </w:p>
    <w:p w14:paraId="4E1FB70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40.Os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materiais de partida devem atender aos requisitos de monografias relevantes da Farmacopeias reconhecidas pela Anvisa e às condições estabelecidas no respectivo dossiê de registro, incluindo o Arquivo Mestre de Plasma, quando aplicável.</w:t>
      </w:r>
    </w:p>
    <w:p w14:paraId="26B7130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Parágrafo único. Estes requisitos devem ser definidos no acordo técnico de qualidade na forma de contrato escrito entre o serviço de hemoterapia e o </w:t>
      </w:r>
      <w:proofErr w:type="spellStart"/>
      <w:r w:rsidRPr="00190B8E">
        <w:rPr>
          <w:rFonts w:ascii="Times New Roman" w:hAnsi="Times New Roman"/>
          <w:sz w:val="24"/>
          <w:szCs w:val="24"/>
        </w:rPr>
        <w:t>fracionador</w:t>
      </w:r>
      <w:proofErr w:type="spellEnd"/>
      <w:r w:rsidRPr="00190B8E">
        <w:rPr>
          <w:rFonts w:ascii="Times New Roman" w:hAnsi="Times New Roman"/>
          <w:sz w:val="24"/>
          <w:szCs w:val="24"/>
        </w:rPr>
        <w:t>/fabricante e controlados por meio do sistema de qualidade.</w:t>
      </w:r>
    </w:p>
    <w:p w14:paraId="0536E08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41. Dependendo do tipo de coleta, se de sangue total ou de aférese, diferentes etapas de processamento podem ser necessárias.</w:t>
      </w:r>
    </w:p>
    <w:p w14:paraId="19B1231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Todas as etapas de processamento, tais como, centrifugação e/ou separação, amostragem, etiquetagem e congelamento devem ser definidas em procedimentos escritos.</w:t>
      </w:r>
    </w:p>
    <w:p w14:paraId="56955D9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42.Quaisquer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misturas de unidades e de amostras, especialmente durante a rotulagem, bem como qualquer contaminação, devem ser evitadas.</w:t>
      </w:r>
    </w:p>
    <w:p w14:paraId="1ED3ED2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43.O congelamento é um passo crucial para a recuperação de proteínas que são lábeis no plasma como, por exemplo, os fatores de coagulação. Portanto, o congelamento deve ser efetuado o mais rapidamente possível após a coleta, seguindo um método validado.</w:t>
      </w:r>
    </w:p>
    <w:p w14:paraId="509AEA6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44.O armazenamento e transporte de sangue ou plasma em qualquer estágio da cadeia de transporte para a planta de fracionamento deve ser definido e registrado.</w:t>
      </w:r>
    </w:p>
    <w:p w14:paraId="70D09AD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§1° Qualquer desvio da temperatura definida deve ser notificado à planta de fracionamento.</w:t>
      </w:r>
    </w:p>
    <w:p w14:paraId="57F931AC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§2° Equipamentos qualificados e procedimentos validados devem ser usados no transporte.</w:t>
      </w:r>
    </w:p>
    <w:p w14:paraId="6E71A39F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Subseção II</w:t>
      </w:r>
    </w:p>
    <w:p w14:paraId="43025746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certificação/liberação do plasma para fracionamento com material de partida</w:t>
      </w:r>
    </w:p>
    <w:p w14:paraId="78C5F60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45.O plasma para fracionamento somente deve ser liberado da quarentena utilizando-se de sistemas e procedimentos que assegurem a qualidade necessária para a fabricação do produto acabado.</w:t>
      </w:r>
    </w:p>
    <w:p w14:paraId="4B5BAAC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Parágrafo único. O plasma somente deve ser distribuído para a planta fabricante/ </w:t>
      </w:r>
      <w:proofErr w:type="spellStart"/>
      <w:r w:rsidRPr="00190B8E">
        <w:rPr>
          <w:rFonts w:ascii="Times New Roman" w:hAnsi="Times New Roman"/>
          <w:sz w:val="24"/>
          <w:szCs w:val="24"/>
        </w:rPr>
        <w:t>fracionadora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quando qualificado, documentado e certificado pelo Responsável Técnico do serviço de hemoterapia ou no caso de coleta de sangue/plasma em outros países por uma pessoa com responsabilidades e qualificações equivalentes, que obedece aos requisitos e especificações definidos nos respectivos contratos escritos e que todas as etapas foram executadas de acordo com as Boas Práticas e as Diretrizes das BPF, conforme apropriado.</w:t>
      </w:r>
    </w:p>
    <w:p w14:paraId="0F01CBD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46.Ao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entrar na planta de fracionamento, as unidades de plasma devem ser liberadas para fracionamento sob a responsabilidade da Pessoa Delegada pelo Sistema de Gestão da Qualidade Farmacêutica daquela planta.</w:t>
      </w:r>
    </w:p>
    <w:p w14:paraId="481C6CC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A Pessoa Delegada pelo Sistema de Gestão da Qualidade Farmacêutica deve confirmar que o plasma atende os requisitos de todas as monografias pertinentes e as condições estabelecidas no respectivo dossiê de registro, incluindo o arquivo mestre do plasma se aplicável.</w:t>
      </w:r>
    </w:p>
    <w:p w14:paraId="301A6CB9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Subseção III</w:t>
      </w:r>
    </w:p>
    <w:p w14:paraId="34747F2D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 processamento do plasma para fracionamento</w:t>
      </w:r>
    </w:p>
    <w:p w14:paraId="217B66D6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47.As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etapas utilizadas no processo de fracionamento variam de acordo com o produto e fabricante e geralmente incluem vários procedimentos de fracionamento/fabricação, alguns dos quais podem contribuir para a inativação e/ou remoção de contaminação potencial.</w:t>
      </w:r>
    </w:p>
    <w:p w14:paraId="6395B5E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48.Os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requerimentos para os processos de mistura, das amostras, fracionamento/purificação e inativação/remoção do vírus devem ser definidos e seguidos minuciosamente.</w:t>
      </w:r>
    </w:p>
    <w:p w14:paraId="16976DA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49. Os métodos utilizados no processo de inativação viral devem ser realizados com estrita adesão aos procedimentos validados e em conformidade com os métodos utilizados nos estudos de validação de remoção/inativação viral.</w:t>
      </w:r>
    </w:p>
    <w:p w14:paraId="0BF2CE0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50.Uma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investigação detalhada de quaisquer falhas nos procedimentos de inativação viral deve ser realizada.</w:t>
      </w:r>
    </w:p>
    <w:p w14:paraId="5AD72B53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>§1° A observância ao processo de fabricação validado é especialmente importante nos procedimentos de remoção e inativação viral, pois quaisquer desvios podem resultar em um risco de segurança para o produto.</w:t>
      </w:r>
    </w:p>
    <w:p w14:paraId="69F2AB5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§2° Os procedimentos que levam em consideração </w:t>
      </w:r>
      <w:proofErr w:type="gramStart"/>
      <w:r w:rsidRPr="00190B8E">
        <w:rPr>
          <w:rFonts w:ascii="Times New Roman" w:hAnsi="Times New Roman"/>
          <w:sz w:val="24"/>
          <w:szCs w:val="24"/>
        </w:rPr>
        <w:t>esse risco devem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estar implementados.</w:t>
      </w:r>
    </w:p>
    <w:p w14:paraId="106FC1B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51.Qualquer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atividade de reprocesso ou retrabalho deve ser executada somente depois de realizado um exercício de gerenciamento de risco da qualidade e utilizando-se apenas das etapas de fabricação definidas em registro.</w:t>
      </w:r>
    </w:p>
    <w:p w14:paraId="63FA117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52.Um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sistema para segregar/distinguir claramente os produtos ou intermediários que passaram pelo processo de remoção viral, daqueles que não passaram, deve estar implementado.</w:t>
      </w:r>
    </w:p>
    <w:p w14:paraId="1E61B7D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53. Dependendo das conclusões do processo de gerenciamento de risco, levando-se em consideração possíveis diferenças na epidemiologia, a produção em campanha, com uma clara segregação e com procedimentos de limpeza validados, deve ser adotada quando o plasma ou intermediários de diferentes origens forem processados ​​na mesma planta.</w:t>
      </w:r>
    </w:p>
    <w:p w14:paraId="5200424F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A exigência de tais medidas deve se basear em recomendações internacionais.</w:t>
      </w:r>
    </w:p>
    <w:p w14:paraId="1C36259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54. Para produtos intermediários destinados a serem armazenados, um prazo de validade deve ser definido com base em dados de estabilidade.</w:t>
      </w:r>
    </w:p>
    <w:p w14:paraId="518D2648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55.O armazenamento e o transporte de medicamentos intermediários e acabados, em qualquer estágio da cadeia de transporte, devem ser especificados e registrados.</w:t>
      </w:r>
    </w:p>
    <w:p w14:paraId="20427F2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Parágrafo único. Equipamentos qualificados e procedimentos validados devem ser empregados.</w:t>
      </w:r>
    </w:p>
    <w:p w14:paraId="560E312F" w14:textId="5B9C6F84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V</w:t>
      </w:r>
    </w:p>
    <w:p w14:paraId="1907B160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 controle de qualidade</w:t>
      </w:r>
    </w:p>
    <w:p w14:paraId="756BD7CA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56.Os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requisitos de teste para vírus ou outros agentes infecciosos devem ser considerados à luz do conhecimento emergente sobre agentes infecciosos e da disponibilidade de métodos e testes apropriados e validados.</w:t>
      </w:r>
    </w:p>
    <w:p w14:paraId="1EE05169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57. A primeira mistura homogênea de plasma como, por exemplo, após a separação do </w:t>
      </w:r>
      <w:proofErr w:type="spellStart"/>
      <w:r w:rsidRPr="00190B8E">
        <w:rPr>
          <w:rFonts w:ascii="Times New Roman" w:hAnsi="Times New Roman"/>
          <w:sz w:val="24"/>
          <w:szCs w:val="24"/>
        </w:rPr>
        <w:t>crioprecipitado</w:t>
      </w:r>
      <w:proofErr w:type="spellEnd"/>
      <w:r w:rsidRPr="00190B8E">
        <w:rPr>
          <w:rFonts w:ascii="Times New Roman" w:hAnsi="Times New Roman"/>
          <w:sz w:val="24"/>
          <w:szCs w:val="24"/>
        </w:rPr>
        <w:t>, deve ser testada por métodos validados de adequada sensibilidade e especificidade, de acordo com os requisitos das Farmacopeias reconhecidas pela Anvisa.</w:t>
      </w:r>
    </w:p>
    <w:p w14:paraId="7E3DFA44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VI</w:t>
      </w:r>
    </w:p>
    <w:p w14:paraId="5A7A0BE4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liberação de intermediários e produtos acabados</w:t>
      </w:r>
    </w:p>
    <w:p w14:paraId="4F29710B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lastRenderedPageBreak/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58.Somente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os lotes derivados de misturas de plasmas testados e consideradas negativas para marcadores de vírus/anticorpos e em conformidade com as monografias pertinentes da Farmacopeia, incluindo quaisquer limites específicos de corte e com as especificações aprovadas, por exemplo, no Arquivo Mestre do Plasma, se aplicável, devem ser liberados.</w:t>
      </w:r>
    </w:p>
    <w:p w14:paraId="4A0C6452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59. A liberação de intermediários destinados a processamento interno adicional ou destinação </w:t>
      </w:r>
      <w:proofErr w:type="spellStart"/>
      <w:r w:rsidRPr="00190B8E">
        <w:rPr>
          <w:rFonts w:ascii="Times New Roman" w:hAnsi="Times New Roman"/>
          <w:sz w:val="24"/>
          <w:szCs w:val="24"/>
        </w:rPr>
        <w:t>inter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190B8E">
        <w:rPr>
          <w:rFonts w:ascii="Times New Roman" w:hAnsi="Times New Roman"/>
          <w:sz w:val="24"/>
          <w:szCs w:val="24"/>
        </w:rPr>
        <w:t>intra-sites</w:t>
      </w:r>
      <w:proofErr w:type="spellEnd"/>
      <w:r w:rsidRPr="00190B8E">
        <w:rPr>
          <w:rFonts w:ascii="Times New Roman" w:hAnsi="Times New Roman"/>
          <w:sz w:val="24"/>
          <w:szCs w:val="24"/>
        </w:rPr>
        <w:t xml:space="preserve"> bem como a liberação de produtos acabados deve ser realizada pela Pessoa Delegada pelo Sistema de Gestão da Qualidade Farmacêutica e de acordo com a autorização de comercialização aprovada.</w:t>
      </w:r>
    </w:p>
    <w:p w14:paraId="6D54F334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60. A liberação de produtos intermediários e finais usados em programas de contrato fracionamento deve ser realizada pela Pessoa Delegada pelo Sistema de Gestão da Qualidade Farmacêutica com base em padrões acordados com o contratado e em conformidade com os padrões de BPF. </w:t>
      </w:r>
    </w:p>
    <w:p w14:paraId="0FEC3AE2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VII</w:t>
      </w:r>
    </w:p>
    <w:p w14:paraId="4B8ED84D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 retenção de amostras da mistura de plasma</w:t>
      </w:r>
    </w:p>
    <w:p w14:paraId="0346FC81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61.Uma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mistura de plasma pode ser usada para fabricar mais de um lote e/ou produto.</w:t>
      </w:r>
    </w:p>
    <w:p w14:paraId="38A9101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62. As amostras de retenção e os registos correspondentes de cada mistura devem ser mantidos durante, pelo menos, um ano após a data de expiração do produto acabado derivado desta mistura que tenha a data de validade mais longa.     </w:t>
      </w:r>
    </w:p>
    <w:p w14:paraId="1FAAB697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Seção VIII</w:t>
      </w:r>
    </w:p>
    <w:p w14:paraId="648EFB13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Do descarte de resíduos</w:t>
      </w:r>
    </w:p>
    <w:p w14:paraId="1916A1EE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63. Devem existir procedimentos escritos para o armazenamento e descarte seguro e documentado de resíduos, itens descartáveis e rejeitados, tais como, unidades contaminadas, unidades de doadores infectados, sangue, plasma, intermediários ou produtos acabados com vida de prateleira expirados.</w:t>
      </w:r>
    </w:p>
    <w:p w14:paraId="2724536C" w14:textId="48FFD18B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CAPÍTULO IV</w:t>
      </w:r>
    </w:p>
    <w:p w14:paraId="30050DAA" w14:textId="7777777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DAS DISPOSIÇOES FINAIS</w:t>
      </w:r>
    </w:p>
    <w:p w14:paraId="4BEF9540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>Art. 64.O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080E213D" w14:textId="77777777" w:rsidR="00190B8E" w:rsidRDefault="00190B8E" w:rsidP="00190B8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90B8E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190B8E">
        <w:rPr>
          <w:rFonts w:ascii="Times New Roman" w:hAnsi="Times New Roman"/>
          <w:sz w:val="24"/>
          <w:szCs w:val="24"/>
        </w:rPr>
        <w:t>65.Esta</w:t>
      </w:r>
      <w:proofErr w:type="gramEnd"/>
      <w:r w:rsidRPr="00190B8E">
        <w:rPr>
          <w:rFonts w:ascii="Times New Roman" w:hAnsi="Times New Roman"/>
          <w:sz w:val="24"/>
          <w:szCs w:val="24"/>
        </w:rPr>
        <w:t xml:space="preserve"> Instrução Normativa entra em vigor 180 (cento e oitenta) dias após sua publicação.</w:t>
      </w:r>
    </w:p>
    <w:p w14:paraId="441462E4" w14:textId="37216327" w:rsidR="00190B8E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r w:rsidRPr="00190B8E">
        <w:rPr>
          <w:rFonts w:ascii="Times New Roman" w:hAnsi="Times New Roman"/>
          <w:b/>
          <w:sz w:val="24"/>
          <w:szCs w:val="24"/>
        </w:rPr>
        <w:t>WILLIAM DIB</w:t>
      </w:r>
    </w:p>
    <w:p w14:paraId="0F7CEE2D" w14:textId="1F24065A" w:rsidR="0056139D" w:rsidRPr="00190B8E" w:rsidRDefault="00190B8E" w:rsidP="00190B8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90B8E">
        <w:rPr>
          <w:rFonts w:ascii="Times New Roman" w:hAnsi="Times New Roman"/>
          <w:b/>
          <w:sz w:val="24"/>
          <w:szCs w:val="24"/>
        </w:rPr>
        <w:t>Diretor-Presidente</w:t>
      </w:r>
      <w:bookmarkEnd w:id="0"/>
    </w:p>
    <w:sectPr w:rsidR="0056139D" w:rsidRPr="00190B8E" w:rsidSect="00CE14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47920" w14:textId="77777777" w:rsidR="001E1794" w:rsidRDefault="001E1794" w:rsidP="00732FAE">
      <w:pPr>
        <w:spacing w:after="0" w:line="240" w:lineRule="auto"/>
      </w:pPr>
      <w:r>
        <w:separator/>
      </w:r>
    </w:p>
  </w:endnote>
  <w:endnote w:type="continuationSeparator" w:id="0">
    <w:p w14:paraId="3854E8BD" w14:textId="77777777" w:rsidR="001E1794" w:rsidRDefault="001E1794" w:rsidP="0073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CF94" w14:textId="77777777" w:rsidR="007F23C5" w:rsidRDefault="007F23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06C6" w14:textId="349AEFCE" w:rsidR="004355D3" w:rsidRPr="005501EC" w:rsidRDefault="005501EC" w:rsidP="005501EC">
    <w:pPr>
      <w:tabs>
        <w:tab w:val="right" w:pos="8504"/>
      </w:tabs>
      <w:spacing w:after="0" w:line="240" w:lineRule="auto"/>
      <w:jc w:val="center"/>
      <w:rPr>
        <w:sz w:val="24"/>
        <w:szCs w:val="24"/>
      </w:rPr>
    </w:pPr>
    <w:r w:rsidRPr="0018049F">
      <w:rPr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03E1" w14:textId="77777777" w:rsidR="007F23C5" w:rsidRDefault="007F23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9E06" w14:textId="77777777" w:rsidR="001E1794" w:rsidRDefault="001E1794" w:rsidP="00732FAE">
      <w:pPr>
        <w:spacing w:after="0" w:line="240" w:lineRule="auto"/>
      </w:pPr>
      <w:r>
        <w:separator/>
      </w:r>
    </w:p>
  </w:footnote>
  <w:footnote w:type="continuationSeparator" w:id="0">
    <w:p w14:paraId="2CE46392" w14:textId="77777777" w:rsidR="001E1794" w:rsidRDefault="001E1794" w:rsidP="0073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3333" w14:textId="77777777" w:rsidR="007F23C5" w:rsidRDefault="007F2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20D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4202CC25" wp14:editId="005E8D6C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7AF0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14:paraId="00044B86" w14:textId="77777777" w:rsidR="006D34FC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14:paraId="28E75F85" w14:textId="21100E60" w:rsidR="004355D3" w:rsidRDefault="004355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A2C0" w14:textId="77777777" w:rsidR="007F23C5" w:rsidRDefault="007F23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40CF"/>
    <w:multiLevelType w:val="hybridMultilevel"/>
    <w:tmpl w:val="6180DBD2"/>
    <w:lvl w:ilvl="0" w:tplc="B64884A6">
      <w:start w:val="10"/>
      <w:numFmt w:val="decimal"/>
      <w:lvlText w:val="Art. %1.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0F0958"/>
    <w:multiLevelType w:val="hybridMultilevel"/>
    <w:tmpl w:val="651EC44C"/>
    <w:lvl w:ilvl="0" w:tplc="52643EC2">
      <w:start w:val="1"/>
      <w:numFmt w:val="ordinal"/>
      <w:lvlText w:val="Art. %1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5A06A5"/>
    <w:multiLevelType w:val="hybridMultilevel"/>
    <w:tmpl w:val="E9CE2D1C"/>
    <w:lvl w:ilvl="0" w:tplc="6464A92E">
      <w:start w:val="1"/>
      <w:numFmt w:val="decimal"/>
      <w:lvlText w:val="§%1º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AE"/>
    <w:rsid w:val="000212E8"/>
    <w:rsid w:val="0007447C"/>
    <w:rsid w:val="000B34B2"/>
    <w:rsid w:val="001250D2"/>
    <w:rsid w:val="00190B8E"/>
    <w:rsid w:val="001A071B"/>
    <w:rsid w:val="001E1794"/>
    <w:rsid w:val="002A128B"/>
    <w:rsid w:val="002E7327"/>
    <w:rsid w:val="002F619F"/>
    <w:rsid w:val="00433B35"/>
    <w:rsid w:val="004355D3"/>
    <w:rsid w:val="004506B5"/>
    <w:rsid w:val="004A3271"/>
    <w:rsid w:val="00511C63"/>
    <w:rsid w:val="005501EC"/>
    <w:rsid w:val="0056139D"/>
    <w:rsid w:val="00613CA3"/>
    <w:rsid w:val="00635D48"/>
    <w:rsid w:val="006D34FC"/>
    <w:rsid w:val="006D6F5B"/>
    <w:rsid w:val="007052A1"/>
    <w:rsid w:val="00732FAE"/>
    <w:rsid w:val="007C6D5F"/>
    <w:rsid w:val="007F23C5"/>
    <w:rsid w:val="008E20C1"/>
    <w:rsid w:val="0099346B"/>
    <w:rsid w:val="00B85D2A"/>
    <w:rsid w:val="00BF7704"/>
    <w:rsid w:val="00C048C0"/>
    <w:rsid w:val="00C20919"/>
    <w:rsid w:val="00CA1660"/>
    <w:rsid w:val="00CE14FF"/>
    <w:rsid w:val="00D24394"/>
    <w:rsid w:val="00D26F5E"/>
    <w:rsid w:val="00D434EE"/>
    <w:rsid w:val="00D820EC"/>
    <w:rsid w:val="00D9319B"/>
    <w:rsid w:val="00E92EFE"/>
    <w:rsid w:val="00EC4577"/>
    <w:rsid w:val="00E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D542A"/>
  <w14:defaultImageDpi w14:val="0"/>
  <w15:docId w15:val="{19085F90-8F81-4ED6-B359-B16A548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FAE"/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32FAE"/>
    <w:pPr>
      <w:spacing w:after="120" w:line="240" w:lineRule="auto"/>
      <w:jc w:val="center"/>
      <w:outlineLvl w:val="0"/>
    </w:pPr>
    <w:rPr>
      <w:rFonts w:cs="Calibri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32FAE"/>
    <w:pPr>
      <w:spacing w:after="120" w:line="240" w:lineRule="auto"/>
      <w:jc w:val="center"/>
      <w:outlineLvl w:val="1"/>
    </w:pPr>
    <w:rPr>
      <w:rFonts w:cs="Calibri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2FAE"/>
    <w:rPr>
      <w:rFonts w:ascii="Calibri" w:hAnsi="Calibri" w:cs="Calibr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32FAE"/>
    <w:rPr>
      <w:rFonts w:ascii="Calibri" w:hAnsi="Calibri" w:cs="Calibr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FA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3B35"/>
    <w:rPr>
      <w:rFonts w:cs="Times New Roman"/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5D3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5D3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5D3"/>
    <w:rPr>
      <w:rFonts w:ascii="Segoe UI" w:hAnsi="Segoe UI" w:cs="Segoe UI"/>
      <w:sz w:val="18"/>
      <w:szCs w:val="18"/>
    </w:rPr>
  </w:style>
  <w:style w:type="paragraph" w:customStyle="1" w:styleId="textojustificadoespacamentosimples">
    <w:name w:val="texto_justificado_espacamento_simples"/>
    <w:basedOn w:val="Normal"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319B"/>
    <w:rPr>
      <w:b/>
      <w:bCs/>
    </w:rPr>
  </w:style>
  <w:style w:type="paragraph" w:customStyle="1" w:styleId="textocentralizado">
    <w:name w:val="texto_centralizado"/>
    <w:basedOn w:val="Normal"/>
    <w:rsid w:val="00D931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319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E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F7132-4F8C-478E-A2F4-9944A099B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5FF4E-E9DB-40EE-BE5C-42280F535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880F6-D543-4506-9C1D-36BF2FB8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3831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Livia da Silva Santos</dc:creator>
  <cp:keywords/>
  <dc:description/>
  <cp:lastModifiedBy>Raianne Liberal Coutinho</cp:lastModifiedBy>
  <cp:revision>4</cp:revision>
  <dcterms:created xsi:type="dcterms:W3CDTF">2019-08-22T13:34:00Z</dcterms:created>
  <dcterms:modified xsi:type="dcterms:W3CDTF">2019-08-22T13:37:00Z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