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8D5EFE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INSTRUÇÃO NORMATIVA CONJUNTA – INC Nº 2, DE 7 DE FEVEREIRO DE 2018</w:t>
      </w:r>
    </w:p>
    <w:p w:rsidR="007B10F4" w:rsidRP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8D5EFE">
        <w:rPr>
          <w:rFonts w:ascii="Times New Roman" w:hAnsi="Times New Roman"/>
          <w:b/>
          <w:color w:val="0000FF"/>
          <w:sz w:val="24"/>
          <w:szCs w:val="24"/>
          <w:lang w:eastAsia="pt-BR"/>
        </w:rPr>
        <w:t>28, de 8 de fevereiro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de 2018)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O DIRETOR-PRESIDENTE DA AGÊNCIA NACIONAL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DE VIGILÂNCIA SANITÁRIA - ANVISA E O SECRETÁRIO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DE DEFESA AGROPECUÁRIA DO MINISTÉRIO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AGRICULTURA, PECUÁRIA E ABASTECIMENTO, no uso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suas respectivas atribuições legais, tendo em vista o disposto 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Lei nº 9.782, de 26 de janeiro de 1999, na Lei nº 8.171, de 17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janeiro de 1991, na Lei nº 9.972, de 25 de maio de 2000, na Lei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nº 8.078, de 11 de setembro de 1990, na Lei nº 7.802, de 11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julho de 1989, na Lei nº 8.080, de 19 de setembro de 1990 e 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Lei nº 6.437, de 20 de agosto de 1977, resolvem: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1º Ficam definidos os procedimentos para a aplicação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da rastreabilidade ao longo da cadeia produtiva de produtos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vegetais frescos destinados à alimentação humana, para fins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monitoramento e controle de resíduos de agrotóxicos, em todo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território nacional, na forma desta Instrução Normativa Conjunta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dos seus Anexos I a III.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Parágrafo único. Esta Instrução Normativa Conjunta 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aplica aos entes da cadeia de produtos vegetais frescos nacionais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 importadas quando destinadas ao consumo humano.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2º Para efeito desta Instrução Normativa Conjunta são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adotadas as seguintes definições: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I- Cadastro Geral de Classificação (CGC/MAPA):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procedimento administrativo para registro junto ao Ministério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Agricultura, Pecuária e Abastecimento, das pessoas físicas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 xml:space="preserve">jurídicas processadoras, beneficiadoras, </w:t>
      </w:r>
      <w:proofErr w:type="spellStart"/>
      <w:r w:rsidRPr="008D5EFE">
        <w:rPr>
          <w:rFonts w:ascii="Times New Roman" w:hAnsi="Times New Roman"/>
          <w:sz w:val="24"/>
          <w:szCs w:val="24"/>
        </w:rPr>
        <w:t>industrializadoras</w:t>
      </w:r>
      <w:proofErr w:type="spellEnd"/>
      <w:r w:rsidRPr="008D5EFE">
        <w:rPr>
          <w:rFonts w:ascii="Times New Roman" w:hAnsi="Times New Roman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embaladoras de produtos vegetais, seus subprodutos e resíduos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valor econômico padronizados sujeitos à classificação, e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pessoas físicas ou jurídicas autorizadas a executar a classificação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desses produtos;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II- </w:t>
      </w:r>
      <w:proofErr w:type="gramStart"/>
      <w:r w:rsidRPr="008D5EFE">
        <w:rPr>
          <w:rFonts w:ascii="Times New Roman" w:hAnsi="Times New Roman"/>
          <w:sz w:val="24"/>
          <w:szCs w:val="24"/>
        </w:rPr>
        <w:t>cadeia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produtiva de produtos vegetais frescos: fluxo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origem ao consumo de produtos vegetais frescos abrangendo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etapas de produção primária, armazenagem, consolidação de lotes,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embalagem, transporte, distribuição, fornecimento, comercialização,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exportação e importação;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III- Certificado de Cadastro de Imóvel Rural (CCIR):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documento emitido pelo INCRA, que constitui prova do cadastro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 imóvel rural, sendo indispensável para desmembrar, arrendar,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hipotecar, vender ou prometer em venda o imóvel rural e para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homologação de partilha amigável ou judicial;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IV- </w:t>
      </w:r>
      <w:proofErr w:type="gramStart"/>
      <w:r w:rsidRPr="008D5EFE">
        <w:rPr>
          <w:rFonts w:ascii="Times New Roman" w:hAnsi="Times New Roman"/>
          <w:sz w:val="24"/>
          <w:szCs w:val="24"/>
        </w:rPr>
        <w:t>consumidor</w:t>
      </w:r>
      <w:proofErr w:type="gramEnd"/>
      <w:r w:rsidRPr="008D5EFE">
        <w:rPr>
          <w:rFonts w:ascii="Times New Roman" w:hAnsi="Times New Roman"/>
          <w:sz w:val="24"/>
          <w:szCs w:val="24"/>
        </w:rPr>
        <w:t>: toda pessoa física ou jurídica que adquire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produtos vegetais frescos como destinatário final;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V- </w:t>
      </w:r>
      <w:proofErr w:type="gramStart"/>
      <w:r w:rsidRPr="008D5EFE">
        <w:rPr>
          <w:rFonts w:ascii="Times New Roman" w:hAnsi="Times New Roman"/>
          <w:sz w:val="24"/>
          <w:szCs w:val="24"/>
        </w:rPr>
        <w:t>ente</w:t>
      </w:r>
      <w:proofErr w:type="gramEnd"/>
      <w:r w:rsidRPr="008D5EFE">
        <w:rPr>
          <w:rFonts w:ascii="Times New Roman" w:hAnsi="Times New Roman"/>
          <w:sz w:val="24"/>
          <w:szCs w:val="24"/>
        </w:rPr>
        <w:t>: toda pessoa física ou jurídica, pública ou privada,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que desenvolve atividades na cadeia produtiva de produtos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vegetais frescos em território brasileiro;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lastRenderedPageBreak/>
        <w:t xml:space="preserve">VI - </w:t>
      </w:r>
      <w:proofErr w:type="gramStart"/>
      <w:r w:rsidRPr="008D5EFE">
        <w:rPr>
          <w:rFonts w:ascii="Times New Roman" w:hAnsi="Times New Roman"/>
          <w:sz w:val="24"/>
          <w:szCs w:val="24"/>
        </w:rPr>
        <w:t>insumos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agrícolas: todo fator de produção utilizado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com o objetivo de garantir a nutrição e a proteção dos vegetais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cultivados, de forma a melhorar a produtividade da lavoura e obter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um produto final de boa qualidade;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VII - lote: conjunto de produtos vegetais frescos de uma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mesma espécie botânica e variedade ou cultivar, produzidos pelo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mesmo produtor, em um espaço de tempo determinado e sob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condições similares;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VIII - lote consolidado: lote oriundo de dois ou mais lotes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de origens diferentes;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IX - </w:t>
      </w:r>
      <w:proofErr w:type="gramStart"/>
      <w:r w:rsidRPr="008D5EFE">
        <w:rPr>
          <w:rFonts w:ascii="Times New Roman" w:hAnsi="Times New Roman"/>
          <w:sz w:val="24"/>
          <w:szCs w:val="24"/>
        </w:rPr>
        <w:t>produto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vegetal fresco: frutas, hortaliças, raízes,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bulbos e tubérculos, embalado ou não, destinado à comercialização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para o consumo, após os procedimentos de colheita e pós-colheita,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cujo estado de apresentação mantém as características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identidade e qualidade do produto vegetal fresco;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X- </w:t>
      </w:r>
      <w:proofErr w:type="gramStart"/>
      <w:r w:rsidRPr="008D5EFE">
        <w:rPr>
          <w:rFonts w:ascii="Times New Roman" w:hAnsi="Times New Roman"/>
          <w:sz w:val="24"/>
          <w:szCs w:val="24"/>
        </w:rPr>
        <w:t>produtor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primário: pessoa física ou jurídica que tem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como atividade econômica a produção e comercialização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produtos vegetais frescos;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XI- rastreabilidade: conjunto de procedimentos 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permite detectar a origem e acompanhar a movimentação de um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 ao longo da cadeia produtiva, mediante elementos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informativos e documentais registrados;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XII - receituário agronômico: documento contendo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prescrição e orientação técnica para utilização de agrotóxico ou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afim, emitido por profissional legalmente habilitado;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XIII- registros: conjunto de elementos informativos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documentais, impressos ou eletrônicos, mantidos pelos entes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cadeia produtiva de produtos vegetais frescos que assegurem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informações obrigatórias, visando a rastreabilidade;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XIV - tratamento fitossanitário: procedimentos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fitossanitários adotados nas etapas de produção e de pós-colheita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dos vegetais para o controle de pragas;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XV- </w:t>
      </w:r>
      <w:proofErr w:type="gramStart"/>
      <w:r w:rsidRPr="008D5EFE">
        <w:rPr>
          <w:rFonts w:ascii="Times New Roman" w:hAnsi="Times New Roman"/>
          <w:sz w:val="24"/>
          <w:szCs w:val="24"/>
        </w:rPr>
        <w:t>unidade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de consolidação: o local onde a pessoa física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ou jurídica recebe lotes de produtos vegetais frescos de diferentes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origens para formar um ou mais lotes consolidados;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XVI- variedade ou cultivar: produtos de mesma espécie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botânica que podem ser agrupados por suas características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semelhantes.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3° A rastreabilidade de que trata esta Instrução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Normativa Conjunta será fiscalizada pelos serviços de Vigilância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Sanitária e pelo Ministério da Agricultura, Pecuária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Abastecimento (MAPA), de acordo com as competências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estabelecidas na Lei 9.782, de 26 de janeiro de 1999 e nas Lei nº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8.171, de 17 de janeiro de 1991 e n° 9.972, de 25 de maio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2000, respectivamente, ou outras que vierem a substituí-las.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4°. A rastreabilidade deve ser assegurada por cada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ente da cadeia produtiva de produtos vegetais frescos em todas 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etapas sob sua responsabilidade.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lastRenderedPageBreak/>
        <w:t>Parágrafo único. Os registros que assegurem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rastreabilidade devem conter, no mínimo, as informações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obrigatórias dispostas nos Anexos I e II desta Instrução Normativa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Conjunta, nos seguintes casos: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I - </w:t>
      </w:r>
      <w:proofErr w:type="gramStart"/>
      <w:r w:rsidRPr="008D5EFE">
        <w:rPr>
          <w:rFonts w:ascii="Times New Roman" w:hAnsi="Times New Roman"/>
          <w:sz w:val="24"/>
          <w:szCs w:val="24"/>
        </w:rPr>
        <w:t>nos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estabelecimentos que compõem a etapa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produção;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 xml:space="preserve">II - </w:t>
      </w:r>
      <w:proofErr w:type="gramStart"/>
      <w:r w:rsidRPr="008D5EFE">
        <w:rPr>
          <w:rFonts w:ascii="Times New Roman" w:hAnsi="Times New Roman"/>
          <w:sz w:val="24"/>
          <w:szCs w:val="24"/>
        </w:rPr>
        <w:t>nos</w:t>
      </w:r>
      <w:proofErr w:type="gramEnd"/>
      <w:r w:rsidRPr="008D5EFE">
        <w:rPr>
          <w:rFonts w:ascii="Times New Roman" w:hAnsi="Times New Roman"/>
          <w:sz w:val="24"/>
          <w:szCs w:val="24"/>
        </w:rPr>
        <w:t xml:space="preserve"> estabelecimentos que beneficiam ou manipulam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produtos vegetais frescos; 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III - nas demais etapas da cadeia produtiva (transporte,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armazenamento, consolidação e comercialização).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5° Cada ente deve manter, no mínimo, registros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informações obrigatórias dispostas nos Anexos I e II desta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Instrução Normativa Conjunta e a nota fiscal ou documento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correspondente, de forma a garantir a identificação do ente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imediatamente anterior e posterior da cadeia produtiva e dos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produtos vegetais frescos recebidos e expedidos.</w:t>
      </w:r>
    </w:p>
    <w:p w:rsidR="0040340C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Art. 6° Os produtos vegetais frescos, ou seus envoltórios,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suas caixas, sacarias e demais embalagens devem estar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devidamente identificados de forma a possibilitar o acesso, pelas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autoridades competentes, aos registros com as informações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obrigatórias e documentais em conformidade com o art. 5°,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observadas as legislações específicas sobre embalagens 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rotulagem de produtos destinados à alimentação humana.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1º A identificação de que trata o caput pode 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realizada por meio de etiquetas impressas com caracteres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 xml:space="preserve">alfanuméricos, código de barras, QR </w:t>
      </w:r>
      <w:proofErr w:type="spellStart"/>
      <w:r w:rsidRPr="008D5EFE">
        <w:rPr>
          <w:rFonts w:ascii="Times New Roman" w:hAnsi="Times New Roman"/>
          <w:sz w:val="24"/>
          <w:szCs w:val="24"/>
        </w:rPr>
        <w:t>Code</w:t>
      </w:r>
      <w:proofErr w:type="spellEnd"/>
      <w:r w:rsidRPr="008D5EFE">
        <w:rPr>
          <w:rFonts w:ascii="Times New Roman" w:hAnsi="Times New Roman"/>
          <w:sz w:val="24"/>
          <w:szCs w:val="24"/>
        </w:rPr>
        <w:t>, ou qualquer outro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sistema que permita identificar os produtos vegetais frescos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forma única e inequívoca.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§ 2º O detentor do produto comercializado a granel, 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varejo, deve apresentar à autoridade competente informação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relativa ao nome do produtor ou da unidade de consolidação e 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nome do país de origem.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7º Na formação do lote consolidado, as unidades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consolidação e os estabelecimentos que beneficiam ou manipulam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produtos vegetais frescos deverão manter registros das informações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obrigatórias, dispostas no Anexo I e II desta Instrução Normativa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Conjunta, para todos os lotes que deram origem ao lote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consolidado, assim como a sua data de formação.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8º O produtor primário e as unidades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consolidação, deverão manter os registros dos insumos agrícolas,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relativos a etapa da cadeia produtiva sob sua responsabilidade,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utilizados no processo de produção e de tratamento fitossanitário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dos produtos vegetais frescos, data de sua utilização,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recomendação técnica ou receituário agronômico emitido por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profissional competente e a identificação do lote ou lote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consolidado correspondente.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9° Os registros das informações de que tratam esta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Instrução Normativa Conjunta deverão ser mantidos à disposição das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autoridades competentes por um período de 18 (dezoito) meses após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o tempo de validade ou de expedição dos produtos vegetais frescos.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lastRenderedPageBreak/>
        <w:t>Art. 10. O descumprimento dos termos desta Instrução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Normativa Conjunta sujeita o infrator às penalidades previstas na Lei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nº. 6.437, de 20 de agosto de 1977, e na Lei nº 9.972, de 25 de maio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2000, cuja incidência se dará independentemente de outras infrações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administrativas, civis e penais previstas na legislação ordinária.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Art. 11. Esta Instrução Normativa Conjunta entra em vigor nos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prazos estabelecidos no Anexo III, contados de sua publicação oficial.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D5EFE" w:rsidRDefault="008D5EFE" w:rsidP="008D5EFE">
      <w:pPr>
        <w:spacing w:after="20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JARBAS BARBOSA DA SILVA JR.</w:t>
      </w: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Diretor-Presidente da Agência Nacional 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Vigilância Sanitária</w:t>
      </w: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LUIS EDUARDO PACIFICI RANGEL</w:t>
      </w: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8D5EFE">
        <w:rPr>
          <w:rFonts w:ascii="Times New Roman" w:hAnsi="Times New Roman"/>
          <w:sz w:val="24"/>
          <w:szCs w:val="24"/>
        </w:rPr>
        <w:t>Secretário de Defesa Agropecuária do Ministério</w:t>
      </w:r>
      <w:r>
        <w:rPr>
          <w:rFonts w:ascii="Times New Roman" w:hAnsi="Times New Roman"/>
          <w:sz w:val="24"/>
          <w:szCs w:val="24"/>
        </w:rPr>
        <w:t xml:space="preserve"> </w:t>
      </w:r>
      <w:r w:rsidRPr="008D5EFE">
        <w:rPr>
          <w:rFonts w:ascii="Times New Roman" w:hAnsi="Times New Roman"/>
          <w:sz w:val="24"/>
          <w:szCs w:val="24"/>
        </w:rPr>
        <w:t>da Agricultura, Pecuária e Abastecimento</w:t>
      </w: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D5EFE" w:rsidRPr="008D5EFE" w:rsidRDefault="008D5EFE" w:rsidP="008D5EF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5EFE">
        <w:rPr>
          <w:rFonts w:ascii="Times New Roman" w:hAnsi="Times New Roman"/>
          <w:b/>
          <w:sz w:val="24"/>
          <w:szCs w:val="24"/>
        </w:rPr>
        <w:t>ANEXO I</w:t>
      </w:r>
    </w:p>
    <w:p w:rsidR="008D5EFE" w:rsidRPr="008D5EFE" w:rsidRDefault="008D5EFE" w:rsidP="008D5EF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5EFE">
        <w:rPr>
          <w:rFonts w:ascii="Times New Roman" w:hAnsi="Times New Roman"/>
          <w:b/>
          <w:sz w:val="24"/>
          <w:szCs w:val="24"/>
        </w:rPr>
        <w:t>Informações obrigatórias do ente anterior na cadeia produtiva a serem registradas e arquivadas.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5EFE" w:rsidTr="008D5EFE">
        <w:tc>
          <w:tcPr>
            <w:tcW w:w="8494" w:type="dxa"/>
            <w:gridSpan w:val="2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 - Inform</w:t>
            </w:r>
            <w:r w:rsidR="003D2F62">
              <w:rPr>
                <w:rFonts w:ascii="Times New Roman" w:hAnsi="Times New Roman"/>
                <w:sz w:val="24"/>
                <w:szCs w:val="24"/>
              </w:rPr>
              <w:t>ações sobre o Produto Vegeta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8D5EFE" w:rsidTr="008D5EFE"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1.1 - Nome do produto vegetal:</w:t>
            </w:r>
          </w:p>
        </w:tc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1.2 - Variedade ou cultivar:</w:t>
            </w:r>
          </w:p>
        </w:tc>
      </w:tr>
      <w:tr w:rsidR="008D5EFE" w:rsidTr="008D5EFE"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1.3 - Quantidade do produto recebido:</w:t>
            </w:r>
          </w:p>
        </w:tc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1.4 - Identificação do lote:</w:t>
            </w:r>
          </w:p>
        </w:tc>
      </w:tr>
      <w:tr w:rsidR="008D5EFE" w:rsidTr="008D5EFE">
        <w:tc>
          <w:tcPr>
            <w:tcW w:w="8494" w:type="dxa"/>
            <w:gridSpan w:val="2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1.5 -Data de recebimento do produto vegetal:</w:t>
            </w:r>
          </w:p>
        </w:tc>
      </w:tr>
      <w:tr w:rsidR="008D5EFE" w:rsidTr="008D5EFE">
        <w:tc>
          <w:tcPr>
            <w:tcW w:w="8494" w:type="dxa"/>
            <w:gridSpan w:val="2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2 - Informaçõe</w:t>
            </w:r>
            <w:r>
              <w:rPr>
                <w:rFonts w:ascii="Times New Roman" w:hAnsi="Times New Roman"/>
                <w:sz w:val="24"/>
                <w:szCs w:val="24"/>
              </w:rPr>
              <w:t>s do Fornecedor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8D5EFE" w:rsidTr="008D5EFE"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2.1 - Nome ou Razão social:</w:t>
            </w:r>
          </w:p>
        </w:tc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2.2 - CPF, IE ou CNPJ ou CGC/MAPA:</w:t>
            </w:r>
          </w:p>
        </w:tc>
      </w:tr>
      <w:tr w:rsidR="008D5EFE" w:rsidTr="008D5EFE">
        <w:tc>
          <w:tcPr>
            <w:tcW w:w="8494" w:type="dxa"/>
            <w:gridSpan w:val="2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lastRenderedPageBreak/>
              <w:t>2.3 - Endereço Completo, ou quando localizado em zona rural, coordenada geográfica ou CCIR:</w:t>
            </w:r>
          </w:p>
        </w:tc>
      </w:tr>
    </w:tbl>
    <w:p w:rsid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D5EFE" w:rsidRDefault="008D5E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D5EFE" w:rsidRPr="008D5EFE" w:rsidRDefault="008D5EFE" w:rsidP="008D5EF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5EFE">
        <w:rPr>
          <w:rFonts w:ascii="Times New Roman" w:hAnsi="Times New Roman"/>
          <w:b/>
          <w:sz w:val="24"/>
          <w:szCs w:val="24"/>
        </w:rPr>
        <w:t>ANEXO II</w:t>
      </w:r>
    </w:p>
    <w:p w:rsidR="008D5EFE" w:rsidRPr="008D5EFE" w:rsidRDefault="008D5EFE" w:rsidP="008D5EF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D5EFE">
        <w:rPr>
          <w:rFonts w:ascii="Times New Roman" w:hAnsi="Times New Roman"/>
          <w:b/>
          <w:sz w:val="24"/>
          <w:szCs w:val="24"/>
        </w:rPr>
        <w:t>Informações obrigatórias do ente posterior na cadeia produtiva a serem registradas e arquivadas.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5EFE" w:rsidTr="00672F6C">
        <w:tc>
          <w:tcPr>
            <w:tcW w:w="8494" w:type="dxa"/>
            <w:gridSpan w:val="2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 - Inform</w:t>
            </w:r>
            <w:r w:rsidR="003D2F62">
              <w:rPr>
                <w:rFonts w:ascii="Times New Roman" w:hAnsi="Times New Roman"/>
                <w:sz w:val="24"/>
                <w:szCs w:val="24"/>
              </w:rPr>
              <w:t>ações sobre o Produto Vegeta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8D5EFE" w:rsidTr="00672F6C">
        <w:tc>
          <w:tcPr>
            <w:tcW w:w="4247" w:type="dxa"/>
            <w:vAlign w:val="center"/>
          </w:tcPr>
          <w:p w:rsidR="008D5EFE" w:rsidRDefault="008D5EFE" w:rsidP="008D5EFE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1.1 - Nome do produto:</w:t>
            </w:r>
          </w:p>
        </w:tc>
        <w:tc>
          <w:tcPr>
            <w:tcW w:w="4247" w:type="dxa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1.2 - Variedade ou cultivar:</w:t>
            </w:r>
          </w:p>
        </w:tc>
      </w:tr>
      <w:tr w:rsidR="008D5EFE" w:rsidTr="00672F6C">
        <w:tc>
          <w:tcPr>
            <w:tcW w:w="4247" w:type="dxa"/>
            <w:vAlign w:val="center"/>
          </w:tcPr>
          <w:p w:rsidR="008D5EFE" w:rsidRDefault="008D5EFE" w:rsidP="003D2F62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 xml:space="preserve">1.3 - Quantidade do produto </w:t>
            </w:r>
            <w:r w:rsidR="003D2F62">
              <w:rPr>
                <w:rFonts w:ascii="Times New Roman" w:hAnsi="Times New Roman"/>
                <w:sz w:val="24"/>
                <w:szCs w:val="24"/>
              </w:rPr>
              <w:t>expedido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4247" w:type="dxa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1.4 - Identificação do lote:</w:t>
            </w:r>
          </w:p>
        </w:tc>
      </w:tr>
      <w:tr w:rsidR="008D5EFE" w:rsidTr="00672F6C">
        <w:tc>
          <w:tcPr>
            <w:tcW w:w="8494" w:type="dxa"/>
            <w:gridSpan w:val="2"/>
            <w:vAlign w:val="center"/>
          </w:tcPr>
          <w:p w:rsidR="008D5EFE" w:rsidRDefault="008D5EFE" w:rsidP="003D2F62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 xml:space="preserve">1.5 -Data de </w:t>
            </w:r>
            <w:r w:rsidR="003D2F62">
              <w:rPr>
                <w:rFonts w:ascii="Times New Roman" w:hAnsi="Times New Roman"/>
                <w:sz w:val="24"/>
                <w:szCs w:val="24"/>
              </w:rPr>
              <w:t>expedição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 xml:space="preserve"> do produto vegetal:</w:t>
            </w:r>
          </w:p>
        </w:tc>
      </w:tr>
      <w:tr w:rsidR="008D5EFE" w:rsidTr="00672F6C">
        <w:tc>
          <w:tcPr>
            <w:tcW w:w="8494" w:type="dxa"/>
            <w:gridSpan w:val="2"/>
            <w:vAlign w:val="center"/>
          </w:tcPr>
          <w:p w:rsidR="008D5EFE" w:rsidRDefault="008D5EFE" w:rsidP="003D2F62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2 - Informaçõe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do </w:t>
            </w:r>
            <w:r w:rsidR="003D2F62">
              <w:rPr>
                <w:rFonts w:ascii="Times New Roman" w:hAnsi="Times New Roman"/>
                <w:sz w:val="24"/>
                <w:szCs w:val="24"/>
              </w:rPr>
              <w:t>Comprador</w:t>
            </w:r>
            <w:r w:rsidRPr="008D5EFE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</w:tr>
      <w:tr w:rsidR="008D5EFE" w:rsidTr="00672F6C">
        <w:tc>
          <w:tcPr>
            <w:tcW w:w="4247" w:type="dxa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2.1 - Nome ou Razão social:</w:t>
            </w:r>
          </w:p>
        </w:tc>
        <w:tc>
          <w:tcPr>
            <w:tcW w:w="4247" w:type="dxa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2.2 - CPF, IE ou CNPJ ou CGC/MAPA:</w:t>
            </w:r>
          </w:p>
        </w:tc>
      </w:tr>
      <w:tr w:rsidR="008D5EFE" w:rsidTr="00672F6C">
        <w:tc>
          <w:tcPr>
            <w:tcW w:w="8494" w:type="dxa"/>
            <w:gridSpan w:val="2"/>
            <w:vAlign w:val="center"/>
          </w:tcPr>
          <w:p w:rsidR="008D5EFE" w:rsidRDefault="008D5EFE" w:rsidP="00672F6C">
            <w:pPr>
              <w:spacing w:after="200"/>
              <w:rPr>
                <w:rFonts w:ascii="Times New Roman" w:hAnsi="Times New Roman"/>
                <w:sz w:val="24"/>
                <w:szCs w:val="24"/>
              </w:rPr>
            </w:pPr>
            <w:r w:rsidRPr="008D5EFE">
              <w:rPr>
                <w:rFonts w:ascii="Times New Roman" w:hAnsi="Times New Roman"/>
                <w:sz w:val="24"/>
                <w:szCs w:val="24"/>
              </w:rPr>
              <w:t>2.3 - Endereço Completo, ou quando localizado em zona rural, coordenada geográfica ou CCIR:</w:t>
            </w:r>
          </w:p>
        </w:tc>
      </w:tr>
    </w:tbl>
    <w:p w:rsidR="008D5EFE" w:rsidRPr="008D5EFE" w:rsidRDefault="008D5EFE" w:rsidP="008D5EFE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D2F62" w:rsidRPr="003D2F62" w:rsidRDefault="003D2F62" w:rsidP="008D5EFE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D2F62">
        <w:rPr>
          <w:rFonts w:ascii="Times New Roman" w:hAnsi="Times New Roman"/>
          <w:b/>
          <w:sz w:val="24"/>
          <w:szCs w:val="24"/>
        </w:rPr>
        <w:t>ANEXO III</w:t>
      </w:r>
    </w:p>
    <w:p w:rsidR="008D5EFE" w:rsidRDefault="008D5EFE" w:rsidP="003D2F62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D2F62">
        <w:rPr>
          <w:rFonts w:ascii="Times New Roman" w:hAnsi="Times New Roman"/>
          <w:b/>
          <w:sz w:val="24"/>
          <w:szCs w:val="24"/>
        </w:rPr>
        <w:t>Prazo para implementação da Rastreabilidade em diferentes cadeias produtivas.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127"/>
        <w:gridCol w:w="2970"/>
      </w:tblGrid>
      <w:tr w:rsidR="003D2F62" w:rsidTr="003D2F62">
        <w:tc>
          <w:tcPr>
            <w:tcW w:w="1696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3D2F62">
              <w:rPr>
                <w:rFonts w:ascii="Times New Roman" w:hAnsi="Times New Roman"/>
                <w:sz w:val="24"/>
                <w:szCs w:val="24"/>
              </w:rPr>
              <w:t>Grupos</w:t>
            </w:r>
          </w:p>
        </w:tc>
        <w:tc>
          <w:tcPr>
            <w:tcW w:w="1701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180 (dias)</w:t>
            </w:r>
          </w:p>
        </w:tc>
        <w:tc>
          <w:tcPr>
            <w:tcW w:w="2127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360 (dias)</w:t>
            </w:r>
          </w:p>
        </w:tc>
        <w:tc>
          <w:tcPr>
            <w:tcW w:w="2970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720 (dias)</w:t>
            </w:r>
          </w:p>
        </w:tc>
      </w:tr>
      <w:tr w:rsidR="003D2F62" w:rsidTr="003D2F62">
        <w:tc>
          <w:tcPr>
            <w:tcW w:w="1696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Frutas</w:t>
            </w:r>
          </w:p>
        </w:tc>
        <w:tc>
          <w:tcPr>
            <w:tcW w:w="1701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Citros, Maçã, Uva</w:t>
            </w:r>
          </w:p>
        </w:tc>
        <w:tc>
          <w:tcPr>
            <w:tcW w:w="2127" w:type="dxa"/>
          </w:tcPr>
          <w:p w:rsidR="003D2F62" w:rsidRP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Melão, Morango, Coco, Goiaba, Caqui, Mamão,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>Banana, Manga</w:t>
            </w:r>
          </w:p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Abacate, Abacaxi, Anonáceas, Cacau, Cupuaçu, Kiwi, Maracujá, Melancia,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>Romã, Açaí, Acerola, Amora, Ameixa, Caju, Carambola, Figo, Framboesa,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 xml:space="preserve">Marmelo, Nectarina, Nêspera, Pêssego, Pitanga, Pera e </w:t>
            </w:r>
            <w:proofErr w:type="spellStart"/>
            <w:r w:rsidRPr="003D2F62">
              <w:rPr>
                <w:rFonts w:ascii="Times New Roman" w:hAnsi="Times New Roman"/>
                <w:sz w:val="24"/>
                <w:szCs w:val="24"/>
              </w:rPr>
              <w:t>Mirtilo</w:t>
            </w:r>
            <w:proofErr w:type="spellEnd"/>
          </w:p>
        </w:tc>
      </w:tr>
      <w:tr w:rsidR="003D2F62" w:rsidTr="003D2F62">
        <w:tc>
          <w:tcPr>
            <w:tcW w:w="1696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Raízes, tubérculos e bulbos</w:t>
            </w:r>
          </w:p>
        </w:tc>
        <w:tc>
          <w:tcPr>
            <w:tcW w:w="1701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Batata</w:t>
            </w:r>
          </w:p>
        </w:tc>
        <w:tc>
          <w:tcPr>
            <w:tcW w:w="2127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Cenoura, Batata doce, Beterraba, Cebola, Alho</w:t>
            </w:r>
          </w:p>
        </w:tc>
        <w:tc>
          <w:tcPr>
            <w:tcW w:w="2970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Cará, Gengibre, Inhame, Mandioca, Mandioquinha-salsa, Nabo, Rabanete,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 xml:space="preserve">Batata </w:t>
            </w:r>
            <w:proofErr w:type="spellStart"/>
            <w:r w:rsidRPr="003D2F62">
              <w:rPr>
                <w:rFonts w:ascii="Times New Roman" w:hAnsi="Times New Roman"/>
                <w:sz w:val="24"/>
                <w:szCs w:val="24"/>
              </w:rPr>
              <w:t>yacon</w:t>
            </w:r>
            <w:proofErr w:type="spellEnd"/>
          </w:p>
        </w:tc>
      </w:tr>
      <w:tr w:rsidR="003D2F62" w:rsidTr="003D2F62">
        <w:tc>
          <w:tcPr>
            <w:tcW w:w="1696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Hortaliças folhosas e ervas aromáticas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>frescas</w:t>
            </w:r>
          </w:p>
        </w:tc>
        <w:tc>
          <w:tcPr>
            <w:tcW w:w="1701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Alface, Repolho</w:t>
            </w:r>
          </w:p>
        </w:tc>
        <w:tc>
          <w:tcPr>
            <w:tcW w:w="2127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 xml:space="preserve">Couve, Agrião, Almeirão, Brócolis, </w:t>
            </w:r>
            <w:proofErr w:type="spellStart"/>
            <w:r w:rsidRPr="003D2F62">
              <w:rPr>
                <w:rFonts w:ascii="Times New Roman" w:hAnsi="Times New Roman"/>
                <w:sz w:val="24"/>
                <w:szCs w:val="24"/>
              </w:rPr>
              <w:t>Chicórea</w:t>
            </w:r>
            <w:proofErr w:type="spellEnd"/>
            <w:r w:rsidRPr="003D2F6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3D2F62">
              <w:rPr>
                <w:rFonts w:ascii="Times New Roman" w:hAnsi="Times New Roman"/>
                <w:sz w:val="24"/>
                <w:szCs w:val="24"/>
              </w:rPr>
              <w:t>Couve-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>flor</w:t>
            </w:r>
            <w:proofErr w:type="gramEnd"/>
          </w:p>
        </w:tc>
        <w:tc>
          <w:tcPr>
            <w:tcW w:w="2970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Couve chinesa, Couve-de-bruxelas, Espinafre, Rúcula, Alho Porro, Cebolinha,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 xml:space="preserve">Coentro, Manjericão, Salsa, Erva-doce, Alecrim, </w:t>
            </w:r>
            <w:proofErr w:type="spellStart"/>
            <w:r w:rsidRPr="003D2F62">
              <w:rPr>
                <w:rFonts w:ascii="Times New Roman" w:hAnsi="Times New Roman"/>
                <w:sz w:val="24"/>
                <w:szCs w:val="24"/>
              </w:rPr>
              <w:t>Estragão</w:t>
            </w:r>
            <w:proofErr w:type="spellEnd"/>
            <w:r w:rsidRPr="003D2F62">
              <w:rPr>
                <w:rFonts w:ascii="Times New Roman" w:hAnsi="Times New Roman"/>
                <w:sz w:val="24"/>
                <w:szCs w:val="24"/>
              </w:rPr>
              <w:t xml:space="preserve">, Manjerona, </w:t>
            </w:r>
            <w:proofErr w:type="spellStart"/>
            <w:r w:rsidRPr="003D2F62">
              <w:rPr>
                <w:rFonts w:ascii="Times New Roman" w:hAnsi="Times New Roman"/>
                <w:sz w:val="24"/>
                <w:szCs w:val="24"/>
              </w:rPr>
              <w:t>Salvia</w:t>
            </w:r>
            <w:proofErr w:type="spellEnd"/>
            <w:r w:rsidRPr="003D2F62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D2F62">
              <w:rPr>
                <w:rFonts w:ascii="Times New Roman" w:hAnsi="Times New Roman"/>
                <w:sz w:val="24"/>
                <w:szCs w:val="24"/>
              </w:rPr>
              <w:t>Hortelã, Orégano, Mostarda, Acelga, Aipo; Aspargos</w:t>
            </w:r>
          </w:p>
        </w:tc>
      </w:tr>
      <w:tr w:rsidR="003D2F62" w:rsidTr="003D2F62">
        <w:tc>
          <w:tcPr>
            <w:tcW w:w="1696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Hortaliças não folhosas</w:t>
            </w:r>
          </w:p>
        </w:tc>
        <w:tc>
          <w:tcPr>
            <w:tcW w:w="1701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Tomate, Pepino</w:t>
            </w:r>
          </w:p>
        </w:tc>
        <w:tc>
          <w:tcPr>
            <w:tcW w:w="2127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Pimentão, Abóbora, Abobrinha</w:t>
            </w:r>
          </w:p>
        </w:tc>
        <w:tc>
          <w:tcPr>
            <w:tcW w:w="2970" w:type="dxa"/>
          </w:tcPr>
          <w:p w:rsidR="003D2F62" w:rsidRDefault="003D2F62" w:rsidP="003D2F6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2F62">
              <w:rPr>
                <w:rFonts w:ascii="Times New Roman" w:hAnsi="Times New Roman"/>
                <w:sz w:val="24"/>
                <w:szCs w:val="24"/>
              </w:rPr>
              <w:t>Berinjela, Chuchu, Jiló, Maxixe, Pimenta, Quiabo</w:t>
            </w:r>
          </w:p>
        </w:tc>
      </w:tr>
    </w:tbl>
    <w:p w:rsidR="003D2F62" w:rsidRPr="003D2F62" w:rsidRDefault="003D2F62" w:rsidP="003D2F62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3D2F62">
        <w:rPr>
          <w:rFonts w:ascii="Times New Roman" w:hAnsi="Times New Roman"/>
          <w:sz w:val="24"/>
          <w:szCs w:val="24"/>
        </w:rPr>
        <w:t xml:space="preserve"> </w:t>
      </w:r>
    </w:p>
    <w:sectPr w:rsidR="003D2F62" w:rsidRPr="003D2F6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1E767F"/>
    <w:rsid w:val="003D2F62"/>
    <w:rsid w:val="0040340C"/>
    <w:rsid w:val="00571816"/>
    <w:rsid w:val="007B10F4"/>
    <w:rsid w:val="008D5EFE"/>
    <w:rsid w:val="00DF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B000DAF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8D5EFE"/>
    <w:pPr>
      <w:ind w:left="720"/>
      <w:contextualSpacing/>
    </w:pPr>
  </w:style>
  <w:style w:type="table" w:styleId="Tabelacomgrade">
    <w:name w:val="Table Grid"/>
    <w:basedOn w:val="Tabelanormal"/>
    <w:uiPriority w:val="39"/>
    <w:rsid w:val="008D5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4657E-5B9D-4D4C-9879-0893D557D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F9DAAB-8703-429A-8E0B-F2AE3CB8DC1F}"/>
</file>

<file path=customXml/itemProps3.xml><?xml version="1.0" encoding="utf-8"?>
<ds:datastoreItem xmlns:ds="http://schemas.openxmlformats.org/officeDocument/2006/customXml" ds:itemID="{4124CEA1-0639-41A9-8AF6-D69135D860B8}"/>
</file>

<file path=customXml/itemProps4.xml><?xml version="1.0" encoding="utf-8"?>
<ds:datastoreItem xmlns:ds="http://schemas.openxmlformats.org/officeDocument/2006/customXml" ds:itemID="{469C3591-6E6E-41EC-B502-715C45B976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1565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3</cp:revision>
  <dcterms:created xsi:type="dcterms:W3CDTF">2018-02-09T17:24:00Z</dcterms:created>
  <dcterms:modified xsi:type="dcterms:W3CDTF">2018-02-09T17:48:00Z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