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6C55FE" w:rsidRDefault="003837DE" w:rsidP="007B2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55FE">
        <w:rPr>
          <w:rFonts w:ascii="Times New Roman" w:hAnsi="Times New Roman" w:cs="Times New Roman"/>
          <w:b/>
          <w:sz w:val="24"/>
          <w:szCs w:val="24"/>
        </w:rPr>
        <w:t>INSTRUÇÃO NORMATIVA</w:t>
      </w:r>
      <w:r w:rsidR="007D5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22EF" w:rsidRPr="006C55FE">
        <w:rPr>
          <w:rFonts w:ascii="Times New Roman" w:hAnsi="Times New Roman" w:cs="Times New Roman"/>
          <w:b/>
          <w:sz w:val="24"/>
          <w:szCs w:val="24"/>
        </w:rPr>
        <w:t>Nº 07, DE 17 DE JUNHO DE 2009</w:t>
      </w:r>
    </w:p>
    <w:p w:rsidR="007B22EF" w:rsidRPr="006C55FE" w:rsidRDefault="007B22EF" w:rsidP="007B22E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C55F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114, de 18 de junho de 2009)</w:t>
      </w:r>
    </w:p>
    <w:p w:rsidR="00B87CBE" w:rsidRPr="006C55FE" w:rsidRDefault="00B87CBE" w:rsidP="007B22E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465FF">
        <w:rPr>
          <w:rFonts w:ascii="Times New Roman" w:hAnsi="Times New Roman" w:cs="Times New Roman"/>
          <w:b/>
          <w:color w:val="0000FF"/>
          <w:sz w:val="24"/>
          <w:szCs w:val="24"/>
        </w:rPr>
        <w:t>(Re</w:t>
      </w:r>
      <w:r w:rsidR="00D465F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vogada pela Instrução Normativa </w:t>
      </w:r>
      <w:r w:rsidRPr="00D465FF">
        <w:rPr>
          <w:rFonts w:ascii="Times New Roman" w:hAnsi="Times New Roman" w:cs="Times New Roman"/>
          <w:b/>
          <w:color w:val="0000FF"/>
          <w:sz w:val="24"/>
          <w:szCs w:val="24"/>
        </w:rPr>
        <w:t>nº 07, de 07 de junho de 2010)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3837DE" w:rsidRPr="006C55FE" w:rsidTr="003837DE">
        <w:tc>
          <w:tcPr>
            <w:tcW w:w="4322" w:type="dxa"/>
          </w:tcPr>
          <w:p w:rsidR="003837DE" w:rsidRPr="006C55FE" w:rsidRDefault="003837DE" w:rsidP="007B22EF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bookmarkStart w:id="0" w:name="_GoBack"/>
          </w:p>
        </w:tc>
        <w:tc>
          <w:tcPr>
            <w:tcW w:w="4322" w:type="dxa"/>
          </w:tcPr>
          <w:p w:rsidR="003837DE" w:rsidRPr="006C55FE" w:rsidRDefault="003837DE" w:rsidP="003837DE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C55FE">
              <w:rPr>
                <w:rFonts w:ascii="Times New Roman" w:hAnsi="Times New Roman" w:cs="Times New Roman"/>
                <w:strike/>
                <w:sz w:val="24"/>
                <w:szCs w:val="24"/>
              </w:rPr>
              <w:t>Estabelece a relação de equipamentos médicos e materiais de uso em saúde que não se enquadram na situação de cadastro, permanecendo na obrigatoriedade de registro na ANVISA.</w:t>
            </w:r>
          </w:p>
        </w:tc>
      </w:tr>
    </w:tbl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6C55FE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6C55FE">
        <w:rPr>
          <w:rFonts w:ascii="Times New Roman" w:hAnsi="Times New Roman" w:cs="Times New Roman"/>
          <w:strike/>
          <w:sz w:val="24"/>
          <w:szCs w:val="24"/>
        </w:rPr>
        <w:t>, no uso das atribuições que lhe conferem o Decreto de nomeação, de 4 de janeiro de 2008, do Presidente da República, e o inciso X do art. 13 do Regulamento da ANVISA, aprovado pelo Decreto n° 3.029, de 16 de abril de 1999, tendo em vista o disposto no inciso VIII do art. 16 e no inciso II, § 2º do art. 55 do Regimento Interno da ANVISA, aprovado nos termos do Anexo I da Portaria n</w:t>
      </w:r>
      <w:r w:rsidR="00164AFC">
        <w:rPr>
          <w:rFonts w:ascii="Times New Roman" w:hAnsi="Times New Roman" w:cs="Times New Roman"/>
          <w:strike/>
          <w:sz w:val="24"/>
          <w:szCs w:val="24"/>
        </w:rPr>
        <w:t>º</w:t>
      </w: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 354, de 11 de agosto de 2006, republicada no DOU de 21 de agosto de 2006, e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considerando a necessidade de constante aperfeiçoamento das ações de controle sanitário na área de produtos para a saúde, visando a proteção à saúde da população;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considerando o disposto no art. 25 da Lei n° 6360, de 23 de setembro de 1976, sobre o registro de produtos correlatos;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considerando as disposições da Resolução - RDC ANVISA nº 24, de 21 de maio de 2009;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considerando que a matéria foi submetida à apreciação da Diretoria Colegiada que a aprovou em reunião realizada em 16 de junho de 2009, resolve: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Art. 1º Estabelecer a relação dos equipamentos médicos e materiais de uso em saúde que são exceção ao regime de cadastramento junto à Agência Nacional de Vigilância Sanitária - Anvisa, permanecendo a exigência de obrigatoriedade de registro, conforme Anexo desta Instrução Normativa.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Parágrafo único. A relação de exceção indicada no anexo será atualizada sempre que justificada por informações técnicas e científicas sobre os riscos à saúde associados às tecnologias ou ao seu uso.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>Art. 2º Esta Instrução Normativa entra em vigor na data de sua publicação.</w:t>
      </w:r>
    </w:p>
    <w:p w:rsidR="003837DE" w:rsidRPr="000B67D8" w:rsidRDefault="003837DE" w:rsidP="003837D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B67D8">
        <w:rPr>
          <w:rFonts w:ascii="Times New Roman" w:hAnsi="Times New Roman" w:cs="Times New Roman"/>
          <w:b/>
          <w:strike/>
          <w:sz w:val="24"/>
          <w:szCs w:val="24"/>
        </w:rPr>
        <w:t>DIRCEU RAPOSO DE MELLO</w:t>
      </w:r>
    </w:p>
    <w:p w:rsidR="003837DE" w:rsidRPr="003A30C9" w:rsidRDefault="003837DE" w:rsidP="003837D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A30C9">
        <w:rPr>
          <w:rFonts w:ascii="Times New Roman" w:hAnsi="Times New Roman" w:cs="Times New Roman"/>
          <w:b/>
          <w:strike/>
          <w:sz w:val="24"/>
          <w:szCs w:val="24"/>
        </w:rPr>
        <w:lastRenderedPageBreak/>
        <w:t xml:space="preserve">ANEXO </w:t>
      </w:r>
    </w:p>
    <w:p w:rsidR="003837DE" w:rsidRPr="003A30C9" w:rsidRDefault="003837DE" w:rsidP="003837D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A30C9">
        <w:rPr>
          <w:rFonts w:ascii="Times New Roman" w:hAnsi="Times New Roman" w:cs="Times New Roman"/>
          <w:b/>
          <w:strike/>
          <w:sz w:val="24"/>
          <w:szCs w:val="24"/>
        </w:rPr>
        <w:t>RELAÇÃO DOS EQUIPAMENTOS MÉDICOS E MATERIAIS DE USO EM SAÚDE QUE PERMANECEM NA EXIGÊNCIA DE REGISTRO NA ANVISA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 Lista de equipamentos médicos e materiais de uso em saúde, enquadrados nas classes de risco I e II, que não estão sujeitos ao regime de cadastramento, permanecendo a exigência de registro.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Equipamentos elétricos sob regime de Vigilância Sanitária incluindo suas partes e acessórios: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1.1.1 Destinados à estética e ao embelezamento e que tenham como modo de funcionamento a aplicação de energia ou substâncias de forma potencialmente perigosa, considerando-se a natureza e o local de aplicação da energia ou substância;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1.1.2 Destinados ao uso médico, fisioterápico e odontológico, que sejam ligados </w:t>
      </w:r>
      <w:proofErr w:type="gramStart"/>
      <w:r w:rsidRPr="006C55FE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 rede elétrica ou possuam fonte de alimentação interna, e que estabeleçam contato direto com o paciente; e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 Indicados a seguir: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1.1.3.1 Aparelho para desinfecção de produtos médicos;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1.1.3.2 Aparelho para esterilização de produtos para embelezamento ou estética;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1.1.3.3 Aparelho para esterilização de produtos médicos;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1.1.3.4 Freezer e refrigeradores para bolsa de sangue, tecidos biológicos humanos, órgãos destinados a transplante em humanos e fluidos a serem administrados no corpo humano;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1.1.3.5 Centrifuga para bolsa de sangue;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1.1.3.6 Processador de componentes sanguíneos;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1.1.3.7 Aquecedor para bolsa de sangue;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1.1.3.8 Microscópio cirúrgico;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1.1.3.9 Software que realize processamento de imagens médicas;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1.1.3.10 Equipamento automático para diagnóstico </w:t>
      </w:r>
      <w:proofErr w:type="spellStart"/>
      <w:r w:rsidRPr="006C55FE">
        <w:rPr>
          <w:rFonts w:ascii="Times New Roman" w:hAnsi="Times New Roman" w:cs="Times New Roman"/>
          <w:strike/>
          <w:sz w:val="24"/>
          <w:szCs w:val="24"/>
        </w:rPr>
        <w:t>in-vitro</w:t>
      </w:r>
      <w:proofErr w:type="spellEnd"/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 como: analisador bioquímico, medidor de glicose etc.;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1.1.3.11 Aplicador ativo de medicamentos como aplicador de insulina, aplicador de hormônios etc.;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1.1.3.12 Reprocessador de </w:t>
      </w:r>
      <w:proofErr w:type="spellStart"/>
      <w:r w:rsidRPr="006C55FE">
        <w:rPr>
          <w:rFonts w:ascii="Times New Roman" w:hAnsi="Times New Roman" w:cs="Times New Roman"/>
          <w:strike/>
          <w:sz w:val="24"/>
          <w:szCs w:val="24"/>
        </w:rPr>
        <w:t>hemodialisador</w:t>
      </w:r>
      <w:proofErr w:type="spellEnd"/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; </w:t>
      </w:r>
      <w:proofErr w:type="gramStart"/>
      <w:r w:rsidRPr="006C55FE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1.1.3.13 Motor pneumático cirúrgico.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 Materiais de uso em saúde: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1.2.1 Produtos sujeitos a certificação compulsória;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1.2.2 Produtos constituídos por líquidos, géis, pastas ou cremes; </w:t>
      </w:r>
      <w:proofErr w:type="gramStart"/>
      <w:r w:rsidRPr="006C55FE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 Indicados a seguir: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1.2.3.1 </w:t>
      </w:r>
      <w:proofErr w:type="gramStart"/>
      <w:r w:rsidRPr="006C55FE">
        <w:rPr>
          <w:rFonts w:ascii="Times New Roman" w:hAnsi="Times New Roman" w:cs="Times New Roman"/>
          <w:strike/>
          <w:sz w:val="24"/>
          <w:szCs w:val="24"/>
        </w:rPr>
        <w:t>Componentes, fios</w:t>
      </w:r>
      <w:proofErr w:type="gramEnd"/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 para ortodontia;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1.2.3.2 Equipo para sangue e hemoderivados;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1.2.3.3 Equipo para bomba de infusão;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1.2.3.4 Filtros para diálise hepática;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1.2.3.5 Filtros para hemodiálise;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1.2.3.6 Filtros para remoção de derivados do sangue;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1.2.3.7 Fios de sutura;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1.2.3.8 Instrumentos destinados a uso invasivo ou cirúrgico para cortar, furar, serrar, fresar, limar, raspar, grampear, retirar, pinçar ou realizar qualquer outro procedimento similar, com ou sem conexão com qualquer produto médico ativo;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1.2.3.9 Lentes de contato;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>1.2.3.10 Máscaras para uso especial (tipo N95);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1.2.3.11 Materiais implantáveis nos dentes (Ex: resinas, amálgama, cimentos e núcleos);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1.2.3.12 Medidor de implantes;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1.2.3.13 Sistemas para aférese sem bolsas plásticas;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1.2.3.14 Termômetro clínico;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1.2.3.15 Vestimentas de proteção radiológica;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1.2.3.16 Circuitos para </w:t>
      </w:r>
      <w:proofErr w:type="spellStart"/>
      <w:proofErr w:type="gramStart"/>
      <w:r w:rsidRPr="006C55FE">
        <w:rPr>
          <w:rFonts w:ascii="Times New Roman" w:hAnsi="Times New Roman" w:cs="Times New Roman"/>
          <w:strike/>
          <w:sz w:val="24"/>
          <w:szCs w:val="24"/>
        </w:rPr>
        <w:t>extra-corpórea</w:t>
      </w:r>
      <w:proofErr w:type="spellEnd"/>
      <w:proofErr w:type="gramEnd"/>
      <w:r w:rsidRPr="006C55FE">
        <w:rPr>
          <w:rFonts w:ascii="Times New Roman" w:hAnsi="Times New Roman" w:cs="Times New Roman"/>
          <w:strike/>
          <w:sz w:val="24"/>
          <w:szCs w:val="24"/>
        </w:rPr>
        <w:t xml:space="preserve">; e </w:t>
      </w:r>
    </w:p>
    <w:p w:rsidR="003837DE" w:rsidRPr="006C55FE" w:rsidRDefault="003837DE" w:rsidP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C55FE">
        <w:rPr>
          <w:rFonts w:ascii="Times New Roman" w:hAnsi="Times New Roman" w:cs="Times New Roman"/>
          <w:strike/>
          <w:sz w:val="24"/>
          <w:szCs w:val="24"/>
        </w:rPr>
        <w:t>1.2.3.17 Componentes de implantes dentários.</w:t>
      </w:r>
    </w:p>
    <w:bookmarkEnd w:id="0"/>
    <w:p w:rsidR="003837DE" w:rsidRPr="006C55FE" w:rsidRDefault="00383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3837DE" w:rsidRPr="006C55FE" w:rsidSect="00183B0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5FE" w:rsidRDefault="006C55FE" w:rsidP="006C55FE">
      <w:pPr>
        <w:spacing w:after="0" w:line="240" w:lineRule="auto"/>
      </w:pPr>
      <w:r>
        <w:separator/>
      </w:r>
    </w:p>
  </w:endnote>
  <w:endnote w:type="continuationSeparator" w:id="0">
    <w:p w:rsidR="006C55FE" w:rsidRDefault="006C55FE" w:rsidP="006C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FE" w:rsidRDefault="006C55FE" w:rsidP="006C55FE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6C55FE" w:rsidRDefault="006C55F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5FE" w:rsidRDefault="006C55FE" w:rsidP="006C55FE">
      <w:pPr>
        <w:spacing w:after="0" w:line="240" w:lineRule="auto"/>
      </w:pPr>
      <w:r>
        <w:separator/>
      </w:r>
    </w:p>
  </w:footnote>
  <w:footnote w:type="continuationSeparator" w:id="0">
    <w:p w:rsidR="006C55FE" w:rsidRDefault="006C55FE" w:rsidP="006C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FE" w:rsidRDefault="006C55FE" w:rsidP="006C55F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3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C55FE" w:rsidRPr="007C54E1" w:rsidRDefault="006C55FE" w:rsidP="006C55FE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6C55FE" w:rsidRPr="007C54E1" w:rsidRDefault="006C55FE" w:rsidP="006C55FE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6C55FE" w:rsidRDefault="006C55F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7B22EF"/>
    <w:rsid w:val="000B67D8"/>
    <w:rsid w:val="000E34CF"/>
    <w:rsid w:val="00164AFC"/>
    <w:rsid w:val="00183B0E"/>
    <w:rsid w:val="001E708B"/>
    <w:rsid w:val="003837DE"/>
    <w:rsid w:val="00392E38"/>
    <w:rsid w:val="003A30C9"/>
    <w:rsid w:val="006C55FE"/>
    <w:rsid w:val="007441BF"/>
    <w:rsid w:val="00786686"/>
    <w:rsid w:val="007B22EF"/>
    <w:rsid w:val="007D5DAB"/>
    <w:rsid w:val="008149D7"/>
    <w:rsid w:val="00B30817"/>
    <w:rsid w:val="00B87CBE"/>
    <w:rsid w:val="00CB20BD"/>
    <w:rsid w:val="00D465FF"/>
    <w:rsid w:val="00D621E1"/>
    <w:rsid w:val="00FE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3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837D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C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5FE"/>
  </w:style>
  <w:style w:type="paragraph" w:styleId="Rodap">
    <w:name w:val="footer"/>
    <w:basedOn w:val="Normal"/>
    <w:link w:val="RodapChar"/>
    <w:uiPriority w:val="99"/>
    <w:unhideWhenUsed/>
    <w:rsid w:val="006C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5FE"/>
  </w:style>
  <w:style w:type="paragraph" w:styleId="Textodebalo">
    <w:name w:val="Balloon Text"/>
    <w:basedOn w:val="Normal"/>
    <w:link w:val="TextodebaloChar"/>
    <w:uiPriority w:val="99"/>
    <w:semiHidden/>
    <w:unhideWhenUsed/>
    <w:rsid w:val="006C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3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184056-038A-4277-8501-E49A3848E231}"/>
</file>

<file path=customXml/itemProps2.xml><?xml version="1.0" encoding="utf-8"?>
<ds:datastoreItem xmlns:ds="http://schemas.openxmlformats.org/officeDocument/2006/customXml" ds:itemID="{83611D20-AF62-440C-936E-16906E61A30F}"/>
</file>

<file path=customXml/itemProps3.xml><?xml version="1.0" encoding="utf-8"?>
<ds:datastoreItem xmlns:ds="http://schemas.openxmlformats.org/officeDocument/2006/customXml" ds:itemID="{2D25C1D7-34AD-4A37-AC5A-BBEBE72066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756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12</cp:revision>
  <dcterms:created xsi:type="dcterms:W3CDTF">2016-02-18T14:46:00Z</dcterms:created>
  <dcterms:modified xsi:type="dcterms:W3CDTF">2016-07-13T13:37:00Z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