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9E" w:rsidRDefault="00020A9E" w:rsidP="00905DF5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aps/>
          <w:kern w:val="36"/>
          <w:sz w:val="24"/>
          <w:szCs w:val="24"/>
          <w:lang w:eastAsia="pt-BR"/>
        </w:rPr>
      </w:pPr>
      <w:bookmarkStart w:id="0" w:name="_GoBack"/>
      <w:bookmarkEnd w:id="0"/>
      <w:r w:rsidRPr="000B0C04">
        <w:rPr>
          <w:rFonts w:ascii="Times New Roman" w:hAnsi="Times New Roman"/>
          <w:b/>
          <w:bCs/>
          <w:caps/>
          <w:kern w:val="36"/>
          <w:sz w:val="24"/>
          <w:szCs w:val="24"/>
          <w:lang w:eastAsia="pt-BR"/>
        </w:rPr>
        <w:t xml:space="preserve">INSTRUÇÃO NORMATIVA </w:t>
      </w:r>
      <w:r w:rsidR="00AE4AD0" w:rsidRPr="000B0C04">
        <w:rPr>
          <w:rFonts w:ascii="Times New Roman" w:hAnsi="Times New Roman"/>
          <w:b/>
          <w:bCs/>
          <w:caps/>
          <w:kern w:val="36"/>
          <w:sz w:val="24"/>
          <w:szCs w:val="24"/>
          <w:lang w:eastAsia="pt-BR"/>
        </w:rPr>
        <w:t>N° 13, DE 8 DE NOVEMBRO DE 2016</w:t>
      </w:r>
    </w:p>
    <w:p w:rsidR="000B0C04" w:rsidRDefault="000B0C04" w:rsidP="00905DF5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aps/>
          <w:kern w:val="36"/>
          <w:sz w:val="24"/>
          <w:szCs w:val="24"/>
          <w:lang w:eastAsia="pt-BR"/>
        </w:rPr>
      </w:pPr>
    </w:p>
    <w:p w:rsidR="000B0C04" w:rsidRPr="000B0C04" w:rsidRDefault="000B0C04" w:rsidP="000B0C04">
      <w:pPr>
        <w:jc w:val="center"/>
        <w:rPr>
          <w:rFonts w:ascii="Times New Roman" w:hAnsi="Times New Roman"/>
          <w:b/>
          <w:color w:val="0000FF"/>
          <w:sz w:val="24"/>
        </w:rPr>
      </w:pPr>
      <w:r w:rsidRPr="000B0C04">
        <w:rPr>
          <w:rFonts w:ascii="Times New Roman" w:hAnsi="Times New Roman"/>
          <w:b/>
          <w:color w:val="0000FF"/>
          <w:sz w:val="24"/>
        </w:rPr>
        <w:t>(Publicada no DOU nº 215, de 9 de novembro de 2016)</w:t>
      </w:r>
    </w:p>
    <w:p w:rsidR="008B6FC8" w:rsidRPr="000B0C04" w:rsidRDefault="008B6FC8" w:rsidP="000B0C04">
      <w:pPr>
        <w:spacing w:after="0" w:line="240" w:lineRule="auto"/>
        <w:outlineLvl w:val="0"/>
        <w:rPr>
          <w:rFonts w:ascii="Times New Roman" w:hAnsi="Times New Roman"/>
          <w:b/>
          <w:bCs/>
          <w:caps/>
          <w:kern w:val="36"/>
          <w:sz w:val="24"/>
          <w:szCs w:val="24"/>
          <w:lang w:eastAsia="pt-BR"/>
        </w:rPr>
      </w:pPr>
    </w:p>
    <w:p w:rsidR="00020A9E" w:rsidRPr="000B0C04" w:rsidRDefault="00020A9E" w:rsidP="000B0C04">
      <w:pPr>
        <w:spacing w:after="0" w:line="240" w:lineRule="auto"/>
        <w:ind w:left="3540"/>
        <w:jc w:val="both"/>
        <w:rPr>
          <w:rFonts w:ascii="Times New Roman" w:hAnsi="Times New Roman"/>
          <w:bCs/>
          <w:iCs/>
          <w:sz w:val="24"/>
          <w:szCs w:val="24"/>
          <w:lang w:eastAsia="pt-BR"/>
        </w:rPr>
      </w:pPr>
      <w:r w:rsidRPr="000B0C04">
        <w:rPr>
          <w:rFonts w:ascii="Times New Roman" w:hAnsi="Times New Roman"/>
          <w:bCs/>
          <w:iCs/>
          <w:sz w:val="24"/>
          <w:szCs w:val="24"/>
          <w:lang w:eastAsia="pt-BR"/>
        </w:rPr>
        <w:t>Altera o Anexo I da Instrução Normativa n°</w:t>
      </w:r>
      <w:r w:rsidR="003E1A2A" w:rsidRPr="000B0C04">
        <w:rPr>
          <w:rFonts w:ascii="Times New Roman" w:hAnsi="Times New Roman"/>
          <w:bCs/>
          <w:iCs/>
          <w:sz w:val="24"/>
          <w:szCs w:val="24"/>
          <w:lang w:eastAsia="pt-BR"/>
        </w:rPr>
        <w:t xml:space="preserve"> </w:t>
      </w:r>
      <w:r w:rsidRPr="000B0C04">
        <w:rPr>
          <w:rFonts w:ascii="Times New Roman" w:hAnsi="Times New Roman"/>
          <w:bCs/>
          <w:iCs/>
          <w:sz w:val="24"/>
          <w:szCs w:val="24"/>
          <w:lang w:eastAsia="pt-BR"/>
        </w:rPr>
        <w:t xml:space="preserve">6, de 18 de </w:t>
      </w:r>
      <w:r w:rsidR="00FC6E5B" w:rsidRPr="000B0C04">
        <w:rPr>
          <w:rFonts w:ascii="Times New Roman" w:hAnsi="Times New Roman"/>
          <w:bCs/>
          <w:iCs/>
          <w:sz w:val="24"/>
          <w:szCs w:val="24"/>
          <w:lang w:eastAsia="pt-BR"/>
        </w:rPr>
        <w:t>n</w:t>
      </w:r>
      <w:r w:rsidRPr="000B0C04">
        <w:rPr>
          <w:rFonts w:ascii="Times New Roman" w:hAnsi="Times New Roman"/>
          <w:bCs/>
          <w:iCs/>
          <w:sz w:val="24"/>
          <w:szCs w:val="24"/>
          <w:lang w:eastAsia="pt-BR"/>
        </w:rPr>
        <w:t>ovembro de 2011</w:t>
      </w:r>
      <w:r w:rsidR="008B6FC8" w:rsidRPr="000B0C04">
        <w:rPr>
          <w:rFonts w:ascii="Times New Roman" w:hAnsi="Times New Roman"/>
          <w:bCs/>
          <w:iCs/>
          <w:sz w:val="24"/>
          <w:szCs w:val="24"/>
          <w:lang w:eastAsia="pt-BR"/>
        </w:rPr>
        <w:t>,</w:t>
      </w:r>
      <w:r w:rsidRPr="000B0C04">
        <w:rPr>
          <w:rFonts w:ascii="Times New Roman" w:hAnsi="Times New Roman"/>
          <w:bCs/>
          <w:iCs/>
          <w:sz w:val="24"/>
          <w:szCs w:val="24"/>
          <w:lang w:eastAsia="pt-BR"/>
        </w:rPr>
        <w:t xml:space="preserve"> que estabelece os critérios específicos para o agrupamento em famílias de MATERIAIS DE USO EM SAÚDE para fins de registro e cadastramento.</w:t>
      </w:r>
    </w:p>
    <w:p w:rsidR="00020A9E" w:rsidRPr="000B0C04" w:rsidRDefault="00020A9E" w:rsidP="00876600">
      <w:pPr>
        <w:spacing w:after="0" w:line="240" w:lineRule="auto"/>
        <w:ind w:left="600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0A9E" w:rsidRPr="000B0C04" w:rsidRDefault="005C1165" w:rsidP="00020A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das atribuições que lhe conferem o art.15, III e IV aliado ao art. 7º, III e IV, da Lei n.º 9.782, de 26 de janeiro de 1999, o art. 53, VI, nos §§ 1º e 3º do Regimento Interno aprovado nos termos do Anexo I da Resolução da Diretoria Colegiada – RDC n° 61, de 3 de fevereiro de 2016, em reunião realizada em </w:t>
      </w:r>
      <w:r w:rsidR="00504C4E" w:rsidRPr="000B0C04">
        <w:rPr>
          <w:rFonts w:ascii="Times New Roman" w:hAnsi="Times New Roman"/>
          <w:sz w:val="24"/>
          <w:szCs w:val="24"/>
        </w:rPr>
        <w:t>25 de outubro</w:t>
      </w:r>
      <w:r w:rsidRPr="000B0C04">
        <w:rPr>
          <w:rFonts w:ascii="Times New Roman" w:hAnsi="Times New Roman"/>
          <w:sz w:val="24"/>
          <w:szCs w:val="24"/>
        </w:rPr>
        <w:t xml:space="preserve"> de 201</w:t>
      </w:r>
      <w:r w:rsidR="00504C4E" w:rsidRPr="000B0C04">
        <w:rPr>
          <w:rFonts w:ascii="Times New Roman" w:hAnsi="Times New Roman"/>
          <w:sz w:val="24"/>
          <w:szCs w:val="24"/>
        </w:rPr>
        <w:t>6</w:t>
      </w:r>
      <w:r w:rsidRPr="000B0C04">
        <w:rPr>
          <w:rFonts w:ascii="Times New Roman" w:hAnsi="Times New Roman"/>
          <w:sz w:val="24"/>
          <w:szCs w:val="24"/>
        </w:rPr>
        <w:t>, resolve:</w:t>
      </w:r>
    </w:p>
    <w:p w:rsidR="005C1165" w:rsidRPr="000B0C04" w:rsidRDefault="005C1165" w:rsidP="00020A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20A9E" w:rsidRPr="000B0C04" w:rsidRDefault="00020A9E" w:rsidP="00020A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0C04">
        <w:rPr>
          <w:rFonts w:ascii="Times New Roman" w:hAnsi="Times New Roman"/>
          <w:sz w:val="24"/>
          <w:szCs w:val="24"/>
          <w:lang w:eastAsia="pt-BR"/>
        </w:rPr>
        <w:t>Art. 1º O item 5 do Anexo I da Instrução Normativa n°</w:t>
      </w:r>
      <w:r w:rsidR="003E1A2A" w:rsidRPr="000B0C04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0C04">
        <w:rPr>
          <w:rFonts w:ascii="Times New Roman" w:hAnsi="Times New Roman"/>
          <w:sz w:val="24"/>
          <w:szCs w:val="24"/>
          <w:lang w:eastAsia="pt-BR"/>
        </w:rPr>
        <w:t>6, de 18 de Novembro de 2011</w:t>
      </w:r>
      <w:r w:rsidR="008B6FC8" w:rsidRPr="000B0C04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3E1A2A" w:rsidRPr="000B0C04">
        <w:rPr>
          <w:rFonts w:ascii="Times New Roman" w:hAnsi="Times New Roman"/>
          <w:sz w:val="24"/>
          <w:szCs w:val="24"/>
          <w:lang w:eastAsia="pt-BR"/>
        </w:rPr>
        <w:t xml:space="preserve">passa </w:t>
      </w:r>
      <w:r w:rsidR="008B6FC8" w:rsidRPr="000B0C04">
        <w:rPr>
          <w:rFonts w:ascii="Times New Roman" w:hAnsi="Times New Roman"/>
          <w:sz w:val="24"/>
          <w:szCs w:val="24"/>
          <w:lang w:eastAsia="pt-BR"/>
        </w:rPr>
        <w:t>a vigorar</w:t>
      </w:r>
      <w:r w:rsidRPr="000B0C04">
        <w:rPr>
          <w:rFonts w:ascii="Times New Roman" w:hAnsi="Times New Roman"/>
          <w:sz w:val="24"/>
          <w:szCs w:val="24"/>
          <w:lang w:eastAsia="pt-BR"/>
        </w:rPr>
        <w:t xml:space="preserve"> com a seguinte redação:</w:t>
      </w:r>
    </w:p>
    <w:p w:rsidR="00020A9E" w:rsidRPr="000B0C04" w:rsidRDefault="00020A9E" w:rsidP="00020A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  <w:lang w:eastAsia="pt-BR"/>
        </w:rPr>
        <w:t>"</w:t>
      </w:r>
      <w:r w:rsidRPr="000B0C04">
        <w:rPr>
          <w:rFonts w:ascii="Times New Roman" w:hAnsi="Times New Roman"/>
          <w:sz w:val="24"/>
          <w:szCs w:val="24"/>
        </w:rPr>
        <w:t xml:space="preserve">5. </w:t>
      </w:r>
      <w:r w:rsidR="00225082" w:rsidRPr="000B0C04">
        <w:rPr>
          <w:rFonts w:ascii="Times New Roman" w:hAnsi="Times New Roman"/>
          <w:sz w:val="24"/>
          <w:szCs w:val="24"/>
        </w:rPr>
        <w:t>i</w:t>
      </w:r>
      <w:r w:rsidRPr="000B0C04">
        <w:rPr>
          <w:rFonts w:ascii="Times New Roman" w:hAnsi="Times New Roman"/>
          <w:sz w:val="24"/>
          <w:szCs w:val="24"/>
        </w:rPr>
        <w:t>nstrumentais de uso médico-odontológico: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5.1. </w:t>
      </w:r>
      <w:r w:rsidR="00225082" w:rsidRPr="000B0C04">
        <w:rPr>
          <w:rFonts w:ascii="Times New Roman" w:hAnsi="Times New Roman"/>
          <w:sz w:val="24"/>
          <w:szCs w:val="24"/>
        </w:rPr>
        <w:t>c</w:t>
      </w:r>
      <w:r w:rsidRPr="000B0C04">
        <w:rPr>
          <w:rFonts w:ascii="Times New Roman" w:hAnsi="Times New Roman"/>
          <w:sz w:val="24"/>
          <w:szCs w:val="24"/>
        </w:rPr>
        <w:t>onexão a equipamento</w:t>
      </w:r>
      <w:r w:rsidR="00225082" w:rsidRPr="000B0C04">
        <w:rPr>
          <w:rFonts w:ascii="Times New Roman" w:hAnsi="Times New Roman"/>
          <w:sz w:val="24"/>
          <w:szCs w:val="24"/>
        </w:rPr>
        <w:t>: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5.1.1. </w:t>
      </w:r>
      <w:r w:rsidR="00225082" w:rsidRPr="000B0C04">
        <w:rPr>
          <w:rFonts w:ascii="Times New Roman" w:hAnsi="Times New Roman"/>
          <w:sz w:val="24"/>
          <w:szCs w:val="24"/>
        </w:rPr>
        <w:t>c</w:t>
      </w:r>
      <w:r w:rsidRPr="000B0C04">
        <w:rPr>
          <w:rFonts w:ascii="Times New Roman" w:hAnsi="Times New Roman"/>
          <w:sz w:val="24"/>
          <w:szCs w:val="24"/>
        </w:rPr>
        <w:t>om conexão a equipamento</w:t>
      </w:r>
      <w:r w:rsidR="00225082" w:rsidRPr="000B0C04">
        <w:rPr>
          <w:rFonts w:ascii="Times New Roman" w:hAnsi="Times New Roman"/>
          <w:sz w:val="24"/>
          <w:szCs w:val="24"/>
        </w:rPr>
        <w:t>;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5.1.2. </w:t>
      </w:r>
      <w:r w:rsidR="00225082" w:rsidRPr="000B0C04">
        <w:rPr>
          <w:rFonts w:ascii="Times New Roman" w:hAnsi="Times New Roman"/>
          <w:sz w:val="24"/>
          <w:szCs w:val="24"/>
        </w:rPr>
        <w:t>s</w:t>
      </w:r>
      <w:r w:rsidRPr="000B0C04">
        <w:rPr>
          <w:rFonts w:ascii="Times New Roman" w:hAnsi="Times New Roman"/>
          <w:sz w:val="24"/>
          <w:szCs w:val="24"/>
        </w:rPr>
        <w:t>em conexão a equipamento</w:t>
      </w:r>
      <w:r w:rsidR="00225082" w:rsidRPr="000B0C04">
        <w:rPr>
          <w:rFonts w:ascii="Times New Roman" w:hAnsi="Times New Roman"/>
          <w:sz w:val="24"/>
          <w:szCs w:val="24"/>
        </w:rPr>
        <w:t>.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 </w:t>
      </w:r>
      <w:r w:rsidR="00225082" w:rsidRPr="000B0C04">
        <w:rPr>
          <w:rFonts w:ascii="Times New Roman" w:hAnsi="Times New Roman"/>
          <w:sz w:val="24"/>
          <w:szCs w:val="24"/>
        </w:rPr>
        <w:t>p</w:t>
      </w:r>
      <w:r w:rsidRPr="000B0C04">
        <w:rPr>
          <w:rFonts w:ascii="Times New Roman" w:hAnsi="Times New Roman"/>
          <w:sz w:val="24"/>
          <w:szCs w:val="24"/>
        </w:rPr>
        <w:t>resença de inserto</w:t>
      </w:r>
      <w:r w:rsidR="00225082" w:rsidRPr="000B0C04">
        <w:rPr>
          <w:rFonts w:ascii="Times New Roman" w:hAnsi="Times New Roman"/>
          <w:sz w:val="24"/>
          <w:szCs w:val="24"/>
        </w:rPr>
        <w:t>: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5.2.1. </w:t>
      </w:r>
      <w:r w:rsidR="00225082" w:rsidRPr="000B0C04">
        <w:rPr>
          <w:rFonts w:ascii="Times New Roman" w:hAnsi="Times New Roman"/>
          <w:sz w:val="24"/>
          <w:szCs w:val="24"/>
        </w:rPr>
        <w:t>c</w:t>
      </w:r>
      <w:r w:rsidRPr="000B0C04">
        <w:rPr>
          <w:rFonts w:ascii="Times New Roman" w:hAnsi="Times New Roman"/>
          <w:sz w:val="24"/>
          <w:szCs w:val="24"/>
        </w:rPr>
        <w:t>om inserto</w:t>
      </w:r>
      <w:r w:rsidR="00225082" w:rsidRPr="000B0C04">
        <w:rPr>
          <w:rFonts w:ascii="Times New Roman" w:hAnsi="Times New Roman"/>
          <w:sz w:val="24"/>
          <w:szCs w:val="24"/>
        </w:rPr>
        <w:t>: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5.2.1.1. </w:t>
      </w:r>
      <w:r w:rsidR="00225082" w:rsidRPr="000B0C04">
        <w:rPr>
          <w:rFonts w:ascii="Times New Roman" w:hAnsi="Times New Roman"/>
          <w:sz w:val="24"/>
          <w:szCs w:val="24"/>
        </w:rPr>
        <w:t>c</w:t>
      </w:r>
      <w:r w:rsidRPr="000B0C04">
        <w:rPr>
          <w:rFonts w:ascii="Times New Roman" w:hAnsi="Times New Roman"/>
          <w:sz w:val="24"/>
          <w:szCs w:val="24"/>
        </w:rPr>
        <w:t>arbeto de tungstênio (Vídea)</w:t>
      </w:r>
      <w:r w:rsidR="00225082" w:rsidRPr="000B0C04">
        <w:rPr>
          <w:rFonts w:ascii="Times New Roman" w:hAnsi="Times New Roman"/>
          <w:sz w:val="24"/>
          <w:szCs w:val="24"/>
        </w:rPr>
        <w:t>;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5.2.1.2. </w:t>
      </w:r>
      <w:r w:rsidR="00225082" w:rsidRPr="000B0C04">
        <w:rPr>
          <w:rFonts w:ascii="Times New Roman" w:hAnsi="Times New Roman"/>
          <w:sz w:val="24"/>
          <w:szCs w:val="24"/>
        </w:rPr>
        <w:t>c</w:t>
      </w:r>
      <w:r w:rsidRPr="000B0C04">
        <w:rPr>
          <w:rFonts w:ascii="Times New Roman" w:hAnsi="Times New Roman"/>
          <w:sz w:val="24"/>
          <w:szCs w:val="24"/>
        </w:rPr>
        <w:t>erâmica</w:t>
      </w:r>
      <w:r w:rsidR="00225082" w:rsidRPr="000B0C04">
        <w:rPr>
          <w:rFonts w:ascii="Times New Roman" w:hAnsi="Times New Roman"/>
          <w:sz w:val="24"/>
          <w:szCs w:val="24"/>
        </w:rPr>
        <w:t>;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5.2.1.3. </w:t>
      </w:r>
      <w:r w:rsidR="00225082" w:rsidRPr="000B0C04">
        <w:rPr>
          <w:rFonts w:ascii="Times New Roman" w:hAnsi="Times New Roman"/>
          <w:sz w:val="24"/>
          <w:szCs w:val="24"/>
        </w:rPr>
        <w:t>d</w:t>
      </w:r>
      <w:r w:rsidRPr="000B0C04">
        <w:rPr>
          <w:rFonts w:ascii="Times New Roman" w:hAnsi="Times New Roman"/>
          <w:sz w:val="24"/>
          <w:szCs w:val="24"/>
        </w:rPr>
        <w:t>iamante</w:t>
      </w:r>
      <w:r w:rsidR="00225082" w:rsidRPr="000B0C04">
        <w:rPr>
          <w:rFonts w:ascii="Times New Roman" w:hAnsi="Times New Roman"/>
          <w:sz w:val="24"/>
          <w:szCs w:val="24"/>
        </w:rPr>
        <w:t>.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5.2.2. </w:t>
      </w:r>
      <w:r w:rsidR="00225082" w:rsidRPr="000B0C04">
        <w:rPr>
          <w:rFonts w:ascii="Times New Roman" w:hAnsi="Times New Roman"/>
          <w:sz w:val="24"/>
          <w:szCs w:val="24"/>
        </w:rPr>
        <w:t>s</w:t>
      </w:r>
      <w:r w:rsidRPr="000B0C04">
        <w:rPr>
          <w:rFonts w:ascii="Times New Roman" w:hAnsi="Times New Roman"/>
          <w:sz w:val="24"/>
          <w:szCs w:val="24"/>
        </w:rPr>
        <w:t>em inserto</w:t>
      </w:r>
      <w:r w:rsidR="00225082" w:rsidRPr="000B0C04">
        <w:rPr>
          <w:rFonts w:ascii="Times New Roman" w:hAnsi="Times New Roman"/>
          <w:sz w:val="24"/>
          <w:szCs w:val="24"/>
        </w:rPr>
        <w:t>.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5.3. </w:t>
      </w:r>
      <w:r w:rsidR="00225082" w:rsidRPr="000B0C04">
        <w:rPr>
          <w:rFonts w:ascii="Times New Roman" w:hAnsi="Times New Roman"/>
          <w:sz w:val="24"/>
          <w:szCs w:val="24"/>
        </w:rPr>
        <w:t>m</w:t>
      </w:r>
      <w:r w:rsidRPr="000B0C04">
        <w:rPr>
          <w:rFonts w:ascii="Times New Roman" w:hAnsi="Times New Roman"/>
          <w:sz w:val="24"/>
          <w:szCs w:val="24"/>
        </w:rPr>
        <w:t>atéria-prima</w:t>
      </w:r>
      <w:r w:rsidR="00225082" w:rsidRPr="000B0C04">
        <w:rPr>
          <w:rFonts w:ascii="Times New Roman" w:hAnsi="Times New Roman"/>
          <w:sz w:val="24"/>
          <w:szCs w:val="24"/>
        </w:rPr>
        <w:t>: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5.3.1. </w:t>
      </w:r>
      <w:r w:rsidR="00225082" w:rsidRPr="000B0C04">
        <w:rPr>
          <w:rFonts w:ascii="Times New Roman" w:hAnsi="Times New Roman"/>
          <w:sz w:val="24"/>
          <w:szCs w:val="24"/>
        </w:rPr>
        <w:t>a</w:t>
      </w:r>
      <w:r w:rsidRPr="000B0C04">
        <w:rPr>
          <w:rFonts w:ascii="Times New Roman" w:hAnsi="Times New Roman"/>
          <w:sz w:val="24"/>
          <w:szCs w:val="24"/>
        </w:rPr>
        <w:t xml:space="preserve"> matéria-prima da parte que entra em contato com o paciente deve ser a mesma para todos os modelos.</w:t>
      </w:r>
    </w:p>
    <w:p w:rsidR="00020A9E" w:rsidRPr="000B0C04" w:rsidRDefault="00020A9E" w:rsidP="00020A9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5.4. </w:t>
      </w:r>
      <w:r w:rsidR="00225082" w:rsidRPr="000B0C04">
        <w:rPr>
          <w:rFonts w:ascii="Times New Roman" w:hAnsi="Times New Roman"/>
          <w:sz w:val="24"/>
          <w:szCs w:val="24"/>
        </w:rPr>
        <w:t>i</w:t>
      </w:r>
      <w:r w:rsidRPr="000B0C04">
        <w:rPr>
          <w:rFonts w:ascii="Times New Roman" w:hAnsi="Times New Roman"/>
          <w:sz w:val="24"/>
          <w:szCs w:val="24"/>
        </w:rPr>
        <w:t>nstrumentais articulados, não articulados, cortantes e não cortantes poderão ser agrupados todos em uma mesma família, desde que observados os critérios para instrumentais de uso médico-odontológico reutilizáveis.</w:t>
      </w:r>
    </w:p>
    <w:p w:rsidR="00020A9E" w:rsidRPr="000B0C04" w:rsidRDefault="00020A9E" w:rsidP="00905DF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B0C04">
        <w:rPr>
          <w:rFonts w:ascii="Times New Roman" w:hAnsi="Times New Roman"/>
          <w:sz w:val="24"/>
          <w:szCs w:val="24"/>
        </w:rPr>
        <w:t xml:space="preserve">5.5. </w:t>
      </w:r>
      <w:r w:rsidR="00225082" w:rsidRPr="000B0C04">
        <w:rPr>
          <w:rFonts w:ascii="Times New Roman" w:hAnsi="Times New Roman"/>
          <w:sz w:val="24"/>
          <w:szCs w:val="24"/>
        </w:rPr>
        <w:t>o</w:t>
      </w:r>
      <w:r w:rsidRPr="000B0C04">
        <w:rPr>
          <w:rFonts w:ascii="Times New Roman" w:hAnsi="Times New Roman"/>
          <w:sz w:val="24"/>
          <w:szCs w:val="24"/>
        </w:rPr>
        <w:t>bservação: Deve ser mencionada a indicação de uso específica para cada modelo.”</w:t>
      </w:r>
      <w:r w:rsidR="003E1A2A" w:rsidRPr="000B0C04">
        <w:rPr>
          <w:rFonts w:ascii="Times New Roman" w:hAnsi="Times New Roman"/>
          <w:sz w:val="24"/>
          <w:szCs w:val="24"/>
        </w:rPr>
        <w:t xml:space="preserve"> (NR)</w:t>
      </w:r>
    </w:p>
    <w:p w:rsidR="00020A9E" w:rsidRPr="000B0C04" w:rsidRDefault="00020A9E" w:rsidP="00020A9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1D7B9A" w:rsidRPr="000B0C04" w:rsidRDefault="001D7B9A" w:rsidP="00905DF5">
      <w:pPr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0C04">
        <w:rPr>
          <w:rFonts w:ascii="Times New Roman" w:hAnsi="Times New Roman"/>
          <w:sz w:val="24"/>
          <w:szCs w:val="24"/>
          <w:lang w:eastAsia="pt-BR"/>
        </w:rPr>
        <w:t>Art. 2º Revoga-se o item 7 do Anexo I da Instrução Normativa nº 6, de 18 de novembro de 2011.</w:t>
      </w:r>
    </w:p>
    <w:p w:rsidR="00905DF5" w:rsidRPr="000B0C04" w:rsidRDefault="00905DF5" w:rsidP="00905DF5">
      <w:pPr>
        <w:autoSpaceDE w:val="0"/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20A9E" w:rsidRPr="000B0C04" w:rsidRDefault="008B6FC8" w:rsidP="00905DF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0C04">
        <w:rPr>
          <w:rFonts w:ascii="Times New Roman" w:hAnsi="Times New Roman"/>
          <w:sz w:val="24"/>
          <w:szCs w:val="24"/>
          <w:lang w:eastAsia="pt-BR"/>
        </w:rPr>
        <w:t>Art. 3</w:t>
      </w:r>
      <w:r w:rsidR="00020A9E" w:rsidRPr="000B0C04">
        <w:rPr>
          <w:rFonts w:ascii="Times New Roman" w:hAnsi="Times New Roman"/>
          <w:sz w:val="24"/>
          <w:szCs w:val="24"/>
          <w:lang w:eastAsia="pt-BR"/>
        </w:rPr>
        <w:t>º Esta Instrução Normativa entra em vigor na data de sua publicação.</w:t>
      </w:r>
    </w:p>
    <w:p w:rsidR="00905DF5" w:rsidRPr="000B0C04" w:rsidRDefault="00905DF5" w:rsidP="000B0C0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B0C04" w:rsidRPr="000B0C04" w:rsidRDefault="00876600" w:rsidP="000B0C04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0B0C04">
        <w:rPr>
          <w:rFonts w:ascii="Times New Roman" w:hAnsi="Times New Roman"/>
          <w:b/>
          <w:iCs/>
          <w:sz w:val="24"/>
          <w:szCs w:val="24"/>
        </w:rPr>
        <w:t>JARBAS BARBOSA DA SILVA JR.</w:t>
      </w:r>
    </w:p>
    <w:sectPr w:rsidR="000B0C04" w:rsidRPr="000B0C04" w:rsidSect="00F6674B">
      <w:headerReference w:type="default" r:id="rId6"/>
      <w:footerReference w:type="default" r:id="rId7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CD5" w:rsidRDefault="00C40CD5" w:rsidP="000B0C04">
      <w:pPr>
        <w:spacing w:after="0" w:line="240" w:lineRule="auto"/>
      </w:pPr>
      <w:r>
        <w:separator/>
      </w:r>
    </w:p>
  </w:endnote>
  <w:endnote w:type="continuationSeparator" w:id="0">
    <w:p w:rsidR="00C40CD5" w:rsidRDefault="00C40CD5" w:rsidP="000B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C04" w:rsidRPr="000B0C04" w:rsidRDefault="000B0C04" w:rsidP="000B0C0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0B0C04">
      <w:rPr>
        <w:rFonts w:ascii="Calibri" w:hAnsi="Calibri"/>
        <w:color w:val="943634"/>
      </w:rPr>
      <w:t>Este texto não substitui o(s) publicado(s) em Diário Oficial da União.</w:t>
    </w:r>
  </w:p>
  <w:p w:rsidR="000B0C04" w:rsidRDefault="000B0C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CD5" w:rsidRDefault="00C40CD5" w:rsidP="000B0C04">
      <w:pPr>
        <w:spacing w:after="0" w:line="240" w:lineRule="auto"/>
      </w:pPr>
      <w:r>
        <w:separator/>
      </w:r>
    </w:p>
  </w:footnote>
  <w:footnote w:type="continuationSeparator" w:id="0">
    <w:p w:rsidR="00C40CD5" w:rsidRDefault="00C40CD5" w:rsidP="000B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C04" w:rsidRPr="000B0C04" w:rsidRDefault="00C40CD5" w:rsidP="000B0C0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C40CD5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0C04" w:rsidRPr="000B0C04" w:rsidRDefault="000B0C04" w:rsidP="000B0C0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0B0C04">
      <w:rPr>
        <w:rFonts w:ascii="Calibri" w:hAnsi="Calibri"/>
        <w:b/>
        <w:sz w:val="24"/>
      </w:rPr>
      <w:t>Ministério da Saúde - MS</w:t>
    </w:r>
  </w:p>
  <w:p w:rsidR="000B0C04" w:rsidRPr="000B0C04" w:rsidRDefault="000B0C04" w:rsidP="000B0C0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0B0C04">
      <w:rPr>
        <w:rFonts w:ascii="Calibri" w:hAnsi="Calibri"/>
        <w:b/>
        <w:sz w:val="24"/>
      </w:rPr>
      <w:t>Agência Nacional de Vigilância Sanitária - ANVISA</w:t>
    </w:r>
  </w:p>
  <w:p w:rsidR="000B0C04" w:rsidRDefault="000B0C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0A9E"/>
    <w:rsid w:val="00020A9E"/>
    <w:rsid w:val="00031BE9"/>
    <w:rsid w:val="000B0C04"/>
    <w:rsid w:val="00194770"/>
    <w:rsid w:val="001D7B9A"/>
    <w:rsid w:val="00225082"/>
    <w:rsid w:val="002D0CB8"/>
    <w:rsid w:val="003E1A2A"/>
    <w:rsid w:val="004846C2"/>
    <w:rsid w:val="00504C4E"/>
    <w:rsid w:val="005234DE"/>
    <w:rsid w:val="00527880"/>
    <w:rsid w:val="005510E7"/>
    <w:rsid w:val="005C1165"/>
    <w:rsid w:val="0061153A"/>
    <w:rsid w:val="00623757"/>
    <w:rsid w:val="006605EF"/>
    <w:rsid w:val="006C654F"/>
    <w:rsid w:val="00733F75"/>
    <w:rsid w:val="007B15EE"/>
    <w:rsid w:val="007D1A10"/>
    <w:rsid w:val="007E3405"/>
    <w:rsid w:val="00823877"/>
    <w:rsid w:val="00824264"/>
    <w:rsid w:val="008666A6"/>
    <w:rsid w:val="00876600"/>
    <w:rsid w:val="008A5E3C"/>
    <w:rsid w:val="008B6FC8"/>
    <w:rsid w:val="00905DF5"/>
    <w:rsid w:val="009C7CE7"/>
    <w:rsid w:val="00A73FE8"/>
    <w:rsid w:val="00AE4AD0"/>
    <w:rsid w:val="00C34EC1"/>
    <w:rsid w:val="00C40CD5"/>
    <w:rsid w:val="00D24A1E"/>
    <w:rsid w:val="00D325FB"/>
    <w:rsid w:val="00D465B4"/>
    <w:rsid w:val="00D74221"/>
    <w:rsid w:val="00E04FFA"/>
    <w:rsid w:val="00F6674B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link w:val="Ttulo1Char"/>
    <w:uiPriority w:val="9"/>
    <w:qFormat/>
    <w:rsid w:val="00020A9E"/>
    <w:pPr>
      <w:spacing w:before="100" w:beforeAutospacing="1" w:after="100" w:afterAutospacing="1" w:line="240" w:lineRule="auto"/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0A9E"/>
    <w:pPr>
      <w:spacing w:before="100" w:beforeAutospacing="1" w:after="100" w:afterAutospacing="1" w:line="240" w:lineRule="auto"/>
      <w:jc w:val="center"/>
      <w:outlineLvl w:val="1"/>
    </w:pPr>
    <w:rPr>
      <w:rFonts w:ascii="Arial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20A9E"/>
    <w:rPr>
      <w:rFonts w:ascii="Arial" w:hAnsi="Arial" w:cs="Arial"/>
      <w:b/>
      <w:bCs/>
      <w:caps/>
      <w:color w:val="000000"/>
      <w:kern w:val="36"/>
      <w:sz w:val="23"/>
      <w:szCs w:val="23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020A9E"/>
    <w:rPr>
      <w:rFonts w:ascii="Arial" w:hAnsi="Arial" w:cs="Arial"/>
      <w:b/>
      <w:bCs/>
      <w:color w:val="000000"/>
      <w:sz w:val="21"/>
      <w:szCs w:val="21"/>
      <w:lang w:val="x-none" w:eastAsia="pt-BR"/>
    </w:rPr>
  </w:style>
  <w:style w:type="paragraph" w:styleId="NormalWeb">
    <w:name w:val="Normal (Web)"/>
    <w:basedOn w:val="Normal"/>
    <w:uiPriority w:val="99"/>
    <w:semiHidden/>
    <w:unhideWhenUsed/>
    <w:rsid w:val="00020A9E"/>
    <w:pPr>
      <w:spacing w:before="100" w:beforeAutospacing="1" w:after="100" w:afterAutospacing="1" w:line="240" w:lineRule="auto"/>
      <w:ind w:firstLine="567"/>
      <w:jc w:val="both"/>
    </w:pPr>
    <w:rPr>
      <w:rFonts w:ascii="Arial" w:hAnsi="Arial" w:cs="Arial"/>
      <w:color w:val="000000"/>
      <w:sz w:val="20"/>
      <w:szCs w:val="20"/>
      <w:lang w:eastAsia="pt-BR"/>
    </w:rPr>
  </w:style>
  <w:style w:type="paragraph" w:customStyle="1" w:styleId="ementa">
    <w:name w:val="ementa"/>
    <w:basedOn w:val="Normal"/>
    <w:rsid w:val="00020A9E"/>
    <w:pPr>
      <w:spacing w:before="100" w:beforeAutospacing="1" w:after="450" w:line="240" w:lineRule="auto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8B6FC8"/>
    <w:rPr>
      <w:rFonts w:cs="Times New Roman"/>
      <w:b/>
      <w:bCs/>
    </w:rPr>
  </w:style>
  <w:style w:type="character" w:customStyle="1" w:styleId="st">
    <w:name w:val="st"/>
    <w:basedOn w:val="Fontepargpadro"/>
    <w:rsid w:val="008B6FC8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7422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2508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50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25082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50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25082"/>
    <w:rPr>
      <w:rFonts w:cs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B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0C0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B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0B0C0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0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44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1505</Characters>
  <Application>Microsoft Office Word</Application>
  <DocSecurity>0</DocSecurity>
  <Lines>12</Lines>
  <Paragraphs>3</Paragraphs>
  <ScaleCrop>false</ScaleCrop>
  <Company>ANVISA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Consigliero de Rezende Martins</dc:creator>
  <cp:keywords/>
  <dc:description/>
  <cp:lastModifiedBy>Julia de Souza Ferreira</cp:lastModifiedBy>
  <cp:revision>2</cp:revision>
  <cp:lastPrinted>2016-11-04T15:39:00Z</cp:lastPrinted>
  <dcterms:created xsi:type="dcterms:W3CDTF">2018-08-16T18:53:00Z</dcterms:created>
  <dcterms:modified xsi:type="dcterms:W3CDTF">2018-08-16T18:53:00Z</dcterms:modified>
</cp:coreProperties>
</file>