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E7FF" w14:textId="77777777" w:rsidR="00487041" w:rsidRDefault="00382EB8" w:rsidP="00487041">
      <w:pPr>
        <w:spacing w:after="200" w:line="240" w:lineRule="auto"/>
        <w:jc w:val="center"/>
        <w:rPr>
          <w:rFonts w:ascii="Times New Roman" w:hAnsi="Times New Roman"/>
          <w:b/>
          <w:bCs/>
          <w:sz w:val="24"/>
          <w:szCs w:val="24"/>
          <w:lang w:eastAsia="pt-BR"/>
        </w:rPr>
      </w:pPr>
      <w:r w:rsidRPr="00487041">
        <w:rPr>
          <w:rFonts w:ascii="Times New Roman" w:hAnsi="Times New Roman"/>
          <w:b/>
          <w:bCs/>
          <w:sz w:val="24"/>
          <w:szCs w:val="24"/>
          <w:lang w:eastAsia="pt-BR"/>
        </w:rPr>
        <w:t>INSTRUÇÃO NORMATIVA N</w:t>
      </w:r>
      <w:r w:rsidR="00487041">
        <w:t>°</w:t>
      </w:r>
      <w:r w:rsidRPr="00487041">
        <w:rPr>
          <w:rFonts w:ascii="Times New Roman" w:hAnsi="Times New Roman"/>
          <w:b/>
          <w:bCs/>
          <w:sz w:val="24"/>
          <w:szCs w:val="24"/>
          <w:lang w:eastAsia="pt-BR"/>
        </w:rPr>
        <w:t xml:space="preserve"> 33, DE 16 DE ABRIL DE 2019</w:t>
      </w:r>
    </w:p>
    <w:p w14:paraId="5899DD0E" w14:textId="77777777" w:rsidR="00487041" w:rsidRDefault="00487041" w:rsidP="00487041">
      <w:pPr>
        <w:spacing w:after="200" w:line="240" w:lineRule="auto"/>
        <w:jc w:val="center"/>
        <w:rPr>
          <w:rFonts w:ascii="Times New Roman" w:hAnsi="Times New Roman"/>
          <w:b/>
          <w:color w:val="0000FF"/>
          <w:sz w:val="24"/>
          <w:szCs w:val="24"/>
          <w:lang w:eastAsia="pt-BR"/>
        </w:rPr>
      </w:pPr>
      <w:r w:rsidRPr="00487041">
        <w:rPr>
          <w:rFonts w:ascii="Times New Roman" w:hAnsi="Times New Roman"/>
          <w:b/>
          <w:color w:val="0000FF"/>
          <w:sz w:val="24"/>
          <w:szCs w:val="24"/>
          <w:lang w:eastAsia="pt-BR"/>
        </w:rPr>
        <w:t>(Publicada no DOU nº 74, de 17 de abril de 2019)</w:t>
      </w:r>
    </w:p>
    <w:p w14:paraId="21C23D80" w14:textId="77777777" w:rsidR="00487041" w:rsidRDefault="00382EB8" w:rsidP="00487041">
      <w:pPr>
        <w:spacing w:after="200" w:line="240" w:lineRule="auto"/>
        <w:ind w:left="3261"/>
        <w:jc w:val="both"/>
        <w:rPr>
          <w:rFonts w:ascii="Times New Roman" w:hAnsi="Times New Roman"/>
          <w:sz w:val="24"/>
          <w:szCs w:val="24"/>
          <w:lang w:eastAsia="pt-BR"/>
        </w:rPr>
      </w:pPr>
      <w:r w:rsidRPr="00487041">
        <w:rPr>
          <w:rFonts w:ascii="Times New Roman" w:hAnsi="Times New Roman"/>
          <w:sz w:val="24"/>
          <w:szCs w:val="24"/>
          <w:lang w:eastAsia="pt-BR"/>
        </w:rPr>
        <w:t>Dispõe sobre os ensaios de desempenho </w:t>
      </w:r>
      <w:r w:rsidRPr="00487041">
        <w:rPr>
          <w:rFonts w:ascii="Times New Roman" w:hAnsi="Times New Roman"/>
          <w:i/>
          <w:iCs/>
          <w:sz w:val="24"/>
          <w:szCs w:val="24"/>
          <w:lang w:eastAsia="pt-BR"/>
        </w:rPr>
        <w:t>in vitro </w:t>
      </w:r>
      <w:r w:rsidRPr="00487041">
        <w:rPr>
          <w:rFonts w:ascii="Times New Roman" w:hAnsi="Times New Roman"/>
          <w:sz w:val="24"/>
          <w:szCs w:val="24"/>
          <w:lang w:eastAsia="pt-BR"/>
        </w:rPr>
        <w:t>de medicamentos nasais e inalatórios orais, nos termos da Resolução da Diretoria Colegiada - RDC nº 278, de 16 de abril de 2019, relativa aos ensaios para comprovação de equivalência terapêutica destes medicamentos.</w:t>
      </w:r>
    </w:p>
    <w:p w14:paraId="33BE220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b/>
          <w:bCs/>
          <w:sz w:val="24"/>
          <w:szCs w:val="24"/>
          <w:lang w:eastAsia="pt-BR"/>
        </w:rPr>
        <w:t>A Diretoria Colegiada da Agência Nacional de Vigilância Sanitária,</w:t>
      </w:r>
      <w:r w:rsidRPr="00487041">
        <w:rPr>
          <w:rFonts w:ascii="Times New Roman" w:hAnsi="Times New Roman"/>
          <w:sz w:val="24"/>
          <w:szCs w:val="24"/>
          <w:lang w:eastAsia="pt-BR"/>
        </w:rPr>
        <w:t xml:space="preserve"> no uso da atribuição que lhe confere o art. 15, III e IV aliado ao art. 7º, III e IV, da Lei n.º 9.782, de 26 de janeiro de 1999, e ao art. 53, VI, §§ 1º e 3º do Regimento Interno aprovado pela Resolução da Diretoria Colegiada – RDC n° 255, de 10 de dezembro de 2018, em reunião realizada em 9 de abril de 2019, resolve:</w:t>
      </w:r>
    </w:p>
    <w:p w14:paraId="202D42A9"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CAPÍTULO I</w:t>
      </w:r>
    </w:p>
    <w:p w14:paraId="0363237E"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DISPOSIÇÕES INICIAIS</w:t>
      </w:r>
    </w:p>
    <w:p w14:paraId="0D5540F0"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I</w:t>
      </w:r>
    </w:p>
    <w:p w14:paraId="1AA8F874"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Objetivo</w:t>
      </w:r>
    </w:p>
    <w:p w14:paraId="5F5035A2"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1º Esta Instrução Normativa estabelece os procedimentos aplicáveis à condução dos ensaios de desempenho in vitro de medicamentos inalatórios orais e sprays e aerossóis nasais e os critérios para comparabilidade dos resultados obtidos, nos termos da Resolução da Diretoria Colegiada - RDC nº 278, de 16 de abril de 2019, relativa aos ensaios para comprovação de equivalência terapêutica destes medicamentos.</w:t>
      </w:r>
    </w:p>
    <w:p w14:paraId="23266A3C"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II</w:t>
      </w:r>
    </w:p>
    <w:p w14:paraId="13C6463C"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Abrangência</w:t>
      </w:r>
    </w:p>
    <w:p w14:paraId="38811562"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2º Este Regulamento se aplica a todos os medicamentos inalatórios orais e sprays e aerossóis nasais com ingredientes farmacêuticos ativos sintéticos, passíveis de quantificação, classificados como novos, inovadores, genéricos e similares vendidos sob prescrição médica, que devem apresentar provas de equivalência terapêutica no momento da concessão do registro ou de alterações pós-registro. Parágrafo único. No caso de medicamentos novos e inovadores, a abrangência dessa norma é limitada aos medicamentos que contenham ingredientes farmacêuticos ativos dentro da faixa terapêutica aprovada em que estudos de equivalência terapêutica podem substituir estudos clínicos de fases II e III, como definidos pela Resolução da Diretoria Colegiada - RDC nº 200, de 26 de dezembro de 2017 e suas atualizações.</w:t>
      </w:r>
    </w:p>
    <w:p w14:paraId="4B1E232C"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III</w:t>
      </w:r>
    </w:p>
    <w:p w14:paraId="5E382F44"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Definições</w:t>
      </w:r>
    </w:p>
    <w:p w14:paraId="2C7A2D3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Art. 3º Para os efeitos dessa Instrução Normativa, são adotadas as seguintes definições:</w:t>
      </w:r>
    </w:p>
    <w:p w14:paraId="6624F423"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acionamento</w:t>
      </w:r>
      <w:proofErr w:type="gramEnd"/>
      <w:r w:rsidRPr="00487041">
        <w:rPr>
          <w:rFonts w:ascii="Times New Roman" w:hAnsi="Times New Roman"/>
          <w:sz w:val="24"/>
          <w:szCs w:val="24"/>
          <w:lang w:eastAsia="pt-BR"/>
        </w:rPr>
        <w:t>: ato de ativar um mecanismo específico do dispositivo provocando a liberação do medicamento;</w:t>
      </w:r>
    </w:p>
    <w:p w14:paraId="32B6D129"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aerossol</w:t>
      </w:r>
      <w:proofErr w:type="gramEnd"/>
      <w:r w:rsidRPr="00487041">
        <w:rPr>
          <w:rFonts w:ascii="Times New Roman" w:hAnsi="Times New Roman"/>
          <w:sz w:val="24"/>
          <w:szCs w:val="24"/>
          <w:lang w:eastAsia="pt-BR"/>
        </w:rPr>
        <w:t xml:space="preserve"> nasal: solução aquosa ou suspensão embalada em um recipiente pressurizado acoplado a um dispositivo que mede precisamente a dose e a libera na forma de uma pluma para agir localmente na cavidade nasal. O recipiente pressurizado pode conter, além da formulação, um gás propelente, uma mistura de gases propelentes ou uma mistura de gases propelentes, solventes e outros excipientes;</w:t>
      </w:r>
    </w:p>
    <w:p w14:paraId="2A82E1B2"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aerossol inalatório oral: solução aquosa ou suspensão embalada em um recipiente pressurizado acoplado a um dispositivo que mede precisamente a dose e a libera na forma de uma pluma que é aspirada pela via oral para agir localmente nos pulmões. O recipiente pressurizado pode conter, além da formulação, um gás propelente, uma mistura de gases propelentes ou uma mistura de gases propelentes, solventes e outros excipientes; </w:t>
      </w:r>
    </w:p>
    <w:p w14:paraId="7A192E4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IV - </w:t>
      </w:r>
      <w:proofErr w:type="gramStart"/>
      <w:r w:rsidRPr="00487041">
        <w:rPr>
          <w:rFonts w:ascii="Times New Roman" w:hAnsi="Times New Roman"/>
          <w:sz w:val="24"/>
          <w:szCs w:val="24"/>
          <w:lang w:eastAsia="pt-BR"/>
        </w:rPr>
        <w:t>carga</w:t>
      </w:r>
      <w:proofErr w:type="gramEnd"/>
      <w:r w:rsidRPr="00487041">
        <w:rPr>
          <w:rFonts w:ascii="Times New Roman" w:hAnsi="Times New Roman"/>
          <w:sz w:val="24"/>
          <w:szCs w:val="24"/>
          <w:lang w:eastAsia="pt-BR"/>
        </w:rPr>
        <w:t>: número de atuações necessárias até que a pluma gerada atenda aos critérios de uniformidade de dose liberada;</w:t>
      </w:r>
    </w:p>
    <w:p w14:paraId="33120223"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dispositivo</w:t>
      </w:r>
      <w:proofErr w:type="gramEnd"/>
      <w:r w:rsidRPr="00487041">
        <w:rPr>
          <w:rFonts w:ascii="Times New Roman" w:hAnsi="Times New Roman"/>
          <w:sz w:val="24"/>
          <w:szCs w:val="24"/>
          <w:lang w:eastAsia="pt-BR"/>
        </w:rPr>
        <w:t xml:space="preserve">: conjunto de componentes que, juntos, acondicionam a formulação (embalagem primária – recipiente, frasco), ativam (atuador/inalador), medem (sistema de válvula </w:t>
      </w:r>
      <w:proofErr w:type="spellStart"/>
      <w:r w:rsidRPr="00487041">
        <w:rPr>
          <w:rFonts w:ascii="Times New Roman" w:hAnsi="Times New Roman"/>
          <w:sz w:val="24"/>
          <w:szCs w:val="24"/>
          <w:lang w:eastAsia="pt-BR"/>
        </w:rPr>
        <w:t>dosificadora</w:t>
      </w:r>
      <w:proofErr w:type="spellEnd"/>
      <w:r w:rsidRPr="00487041">
        <w:rPr>
          <w:rFonts w:ascii="Times New Roman" w:hAnsi="Times New Roman"/>
          <w:sz w:val="24"/>
          <w:szCs w:val="24"/>
          <w:lang w:eastAsia="pt-BR"/>
        </w:rPr>
        <w:t>) e liberam a dose (atuador/inalador). Inclui também componentes que protegem o dispositivo como um todo, por exemplo tampa e embalagem de proteção, e qualquer outro componente ou acessório que afete a mecânica do desempenho global desse conjunto, como espaçador); </w:t>
      </w:r>
    </w:p>
    <w:p w14:paraId="54E8BB2D"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 - </w:t>
      </w:r>
      <w:proofErr w:type="gramStart"/>
      <w:r w:rsidRPr="00487041">
        <w:rPr>
          <w:rFonts w:ascii="Times New Roman" w:hAnsi="Times New Roman"/>
          <w:sz w:val="24"/>
          <w:szCs w:val="24"/>
          <w:lang w:eastAsia="pt-BR"/>
        </w:rPr>
        <w:t>ensaios</w:t>
      </w:r>
      <w:proofErr w:type="gramEnd"/>
      <w:r w:rsidRPr="00487041">
        <w:rPr>
          <w:rFonts w:ascii="Times New Roman" w:hAnsi="Times New Roman"/>
          <w:sz w:val="24"/>
          <w:szCs w:val="24"/>
          <w:lang w:eastAsia="pt-BR"/>
        </w:rPr>
        <w:t xml:space="preserve"> de desempenho: conjunto de ensaios realizados para avaliação do comportamento de medicamentos nasais e inalatórios orais sob determinadas condições com objetivo de avaliar as características destes medicamentos e possibilitar comparação entre estes; </w:t>
      </w:r>
    </w:p>
    <w:p w14:paraId="7F618B9B"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VII - nebulizador: dispositivo utilizado na administração de medicamentos por inalação que converte um líquido em um aerossol; </w:t>
      </w:r>
    </w:p>
    <w:p w14:paraId="5C35A67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VIII - pó inalatório oral: pó aspirado pela via oral para agir localmente nos pulmões. São subdivididos em: a. tipo reservatório, em que o pó está contido dentro de recipiente acoplado a um dispositivo que mede precisamente a dose e a libera para aspiração; b. tipo disco, em que as doses são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xml:space="preserve"> e estão organizadas em </w:t>
      </w:r>
      <w:proofErr w:type="spellStart"/>
      <w:r w:rsidRPr="00487041">
        <w:rPr>
          <w:rFonts w:ascii="Times New Roman" w:hAnsi="Times New Roman"/>
          <w:sz w:val="24"/>
          <w:szCs w:val="24"/>
          <w:lang w:eastAsia="pt-BR"/>
        </w:rPr>
        <w:t>blíster</w:t>
      </w:r>
      <w:proofErr w:type="spellEnd"/>
      <w:r w:rsidRPr="00487041">
        <w:rPr>
          <w:rFonts w:ascii="Times New Roman" w:hAnsi="Times New Roman"/>
          <w:sz w:val="24"/>
          <w:szCs w:val="24"/>
          <w:lang w:eastAsia="pt-BR"/>
        </w:rPr>
        <w:t xml:space="preserve"> ou tira dentro do dispositivo; c. de doses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xml:space="preserve"> unitárias, em que as doses estão acondicionadas em doses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Faz-se necessário o uso de um inalador para administração das doses;</w:t>
      </w:r>
    </w:p>
    <w:p w14:paraId="11408930"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IX - </w:t>
      </w:r>
      <w:proofErr w:type="gramStart"/>
      <w:r w:rsidRPr="00487041">
        <w:rPr>
          <w:rFonts w:ascii="Times New Roman" w:hAnsi="Times New Roman"/>
          <w:sz w:val="24"/>
          <w:szCs w:val="24"/>
          <w:lang w:eastAsia="pt-BR"/>
        </w:rPr>
        <w:t>protocolo</w:t>
      </w:r>
      <w:proofErr w:type="gramEnd"/>
      <w:r w:rsidRPr="00487041">
        <w:rPr>
          <w:rFonts w:ascii="Times New Roman" w:hAnsi="Times New Roman"/>
          <w:sz w:val="24"/>
          <w:szCs w:val="24"/>
          <w:lang w:eastAsia="pt-BR"/>
        </w:rPr>
        <w:t>: documento escrito que define todo o planejamento de um estudo;</w:t>
      </w:r>
    </w:p>
    <w:p w14:paraId="73DBBB5E"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 xml:space="preserve">X - </w:t>
      </w:r>
      <w:proofErr w:type="gramStart"/>
      <w:r w:rsidRPr="00487041">
        <w:rPr>
          <w:rFonts w:ascii="Times New Roman" w:hAnsi="Times New Roman"/>
          <w:sz w:val="24"/>
          <w:szCs w:val="24"/>
          <w:lang w:eastAsia="pt-BR"/>
        </w:rPr>
        <w:t>recarga</w:t>
      </w:r>
      <w:proofErr w:type="gramEnd"/>
      <w:r w:rsidRPr="00487041">
        <w:rPr>
          <w:rFonts w:ascii="Times New Roman" w:hAnsi="Times New Roman"/>
          <w:sz w:val="24"/>
          <w:szCs w:val="24"/>
          <w:lang w:eastAsia="pt-BR"/>
        </w:rPr>
        <w:t>: nova carga do dispositivo após um período de não utilização ou posição de armazenamento não adequada, de acordo com o especificado na bula do medicamente de referência/comparador; e</w:t>
      </w:r>
    </w:p>
    <w:p w14:paraId="4FB0098C"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XI - spray nasal: solução ou suspensão acondicionada em um recipiente acoplado a um dispositivo que mede precisamente a dose e a libera na forma de uma pluma para agir localmente.</w:t>
      </w:r>
    </w:p>
    <w:p w14:paraId="2F6B1833" w14:textId="77777777" w:rsidR="00382EB8" w:rsidRPr="00487041" w:rsidRDefault="00382EB8" w:rsidP="00487041">
      <w:pPr>
        <w:spacing w:after="200" w:line="240" w:lineRule="auto"/>
        <w:jc w:val="center"/>
        <w:rPr>
          <w:rFonts w:ascii="Times New Roman" w:hAnsi="Times New Roman"/>
          <w:b/>
          <w:bCs/>
          <w:caps/>
          <w:sz w:val="24"/>
          <w:szCs w:val="24"/>
          <w:lang w:eastAsia="pt-BR"/>
        </w:rPr>
      </w:pPr>
      <w:r w:rsidRPr="00487041">
        <w:rPr>
          <w:rFonts w:ascii="Times New Roman" w:hAnsi="Times New Roman"/>
          <w:b/>
          <w:bCs/>
          <w:caps/>
          <w:sz w:val="24"/>
          <w:szCs w:val="24"/>
          <w:lang w:eastAsia="pt-BR"/>
        </w:rPr>
        <w:t>CAPÍTULO II</w:t>
      </w:r>
    </w:p>
    <w:p w14:paraId="3A8C3C49" w14:textId="77777777" w:rsidR="00382EB8" w:rsidRPr="00487041" w:rsidRDefault="00382EB8" w:rsidP="00487041">
      <w:pPr>
        <w:spacing w:after="200" w:line="240" w:lineRule="auto"/>
        <w:jc w:val="center"/>
        <w:rPr>
          <w:rFonts w:ascii="Times New Roman" w:hAnsi="Times New Roman"/>
          <w:b/>
          <w:bCs/>
          <w:caps/>
          <w:sz w:val="24"/>
          <w:szCs w:val="24"/>
          <w:lang w:eastAsia="pt-BR"/>
        </w:rPr>
      </w:pPr>
      <w:r w:rsidRPr="00487041">
        <w:rPr>
          <w:rFonts w:ascii="Times New Roman" w:hAnsi="Times New Roman"/>
          <w:b/>
          <w:bCs/>
          <w:caps/>
          <w:sz w:val="24"/>
          <w:szCs w:val="24"/>
          <w:lang w:eastAsia="pt-BR"/>
        </w:rPr>
        <w:t>PROCEDIMENTOS PARA CONDUÇÃO DOS ENSAIOS DE DESEMPENHO </w:t>
      </w:r>
      <w:r w:rsidRPr="00487041">
        <w:rPr>
          <w:rFonts w:ascii="Times New Roman" w:hAnsi="Times New Roman"/>
          <w:b/>
          <w:bCs/>
          <w:i/>
          <w:iCs/>
          <w:caps/>
          <w:sz w:val="24"/>
          <w:szCs w:val="24"/>
          <w:lang w:eastAsia="pt-BR"/>
        </w:rPr>
        <w:t>IN VITRO</w:t>
      </w:r>
    </w:p>
    <w:p w14:paraId="30F19B9B"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4º Recomenda-se a utilização de sistema de atuação automática de dispositivos.</w:t>
      </w:r>
    </w:p>
    <w:p w14:paraId="3FEB500B"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I</w:t>
      </w:r>
    </w:p>
    <w:p w14:paraId="416A7B74"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Aspecto do Medicamento</w:t>
      </w:r>
    </w:p>
    <w:p w14:paraId="2D0EF99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5º O ensaio de aspecto do medicamento deverá ser conduzido utilizando, no mínimo, três dispositivos do medicamento teste e, no mínimo, três dispositivos </w:t>
      </w:r>
      <w:proofErr w:type="spellStart"/>
      <w:r w:rsidRPr="00487041">
        <w:rPr>
          <w:rFonts w:ascii="Times New Roman" w:hAnsi="Times New Roman"/>
          <w:sz w:val="24"/>
          <w:szCs w:val="24"/>
          <w:lang w:eastAsia="pt-BR"/>
        </w:rPr>
        <w:t>domedicamento</w:t>
      </w:r>
      <w:proofErr w:type="spellEnd"/>
      <w:r w:rsidRPr="00487041">
        <w:rPr>
          <w:rFonts w:ascii="Times New Roman" w:hAnsi="Times New Roman"/>
          <w:sz w:val="24"/>
          <w:szCs w:val="24"/>
          <w:lang w:eastAsia="pt-BR"/>
        </w:rPr>
        <w:t xml:space="preserve"> de referência/comparador para </w:t>
      </w:r>
      <w:proofErr w:type="gramStart"/>
      <w:r w:rsidRPr="00487041">
        <w:rPr>
          <w:rFonts w:ascii="Times New Roman" w:hAnsi="Times New Roman"/>
          <w:sz w:val="24"/>
          <w:szCs w:val="24"/>
          <w:lang w:eastAsia="pt-BR"/>
        </w:rPr>
        <w:t>sprays  nasais</w:t>
      </w:r>
      <w:proofErr w:type="gramEnd"/>
      <w:r w:rsidRPr="00487041">
        <w:rPr>
          <w:rFonts w:ascii="Times New Roman" w:hAnsi="Times New Roman"/>
          <w:sz w:val="24"/>
          <w:szCs w:val="24"/>
          <w:lang w:eastAsia="pt-BR"/>
        </w:rPr>
        <w:t>, aerossóis nasais, aerossóis inalatórios orais e pós inalatórios orais.</w:t>
      </w:r>
    </w:p>
    <w:p w14:paraId="3289F7A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Parágrafo único. Nos casos de pós inalatórios orais do tipo disco nos quais as doses estão acondicionadas em doses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xml:space="preserve"> unitárias e medicamentos para nebulização, deve-se utilizar, no mínimo, três unidades do medicamento teste e, no mínimo, três unidades do medicamento de referência/comparador.</w:t>
      </w:r>
    </w:p>
    <w:p w14:paraId="71EE03A0"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6º Deverão ser descritos os aspectos da formulação do medicamento teste e da formulação do medicamento de referência/comparador de acordo com métodos gerais da Farmacopeia Brasileira, preferencialmente, quando compatíveis com a forma farmacêutica em estudo, ou com os métodos de outros compêndios oficiais.</w:t>
      </w:r>
    </w:p>
    <w:p w14:paraId="530E020B"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7º Para sprays nasais, aerossóis nasais e aerossóis inalatórios orais deverão ser descritos os seguintes aspectos dos dispositivos:</w:t>
      </w:r>
    </w:p>
    <w:p w14:paraId="5B712FA5"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aparência</w:t>
      </w:r>
      <w:proofErr w:type="gramEnd"/>
      <w:r w:rsidRPr="00487041">
        <w:rPr>
          <w:rFonts w:ascii="Times New Roman" w:hAnsi="Times New Roman"/>
          <w:sz w:val="24"/>
          <w:szCs w:val="24"/>
          <w:lang w:eastAsia="pt-BR"/>
        </w:rPr>
        <w:t xml:space="preserve"> externa: material (plástico, vidro etc.) e cor do frasco e tampa protetora do atuador;</w:t>
      </w:r>
    </w:p>
    <w:p w14:paraId="203DAA01"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altura e largura</w:t>
      </w:r>
      <w:proofErr w:type="gramEnd"/>
      <w:r w:rsidRPr="00487041">
        <w:rPr>
          <w:rFonts w:ascii="Times New Roman" w:hAnsi="Times New Roman"/>
          <w:sz w:val="24"/>
          <w:szCs w:val="24"/>
          <w:lang w:eastAsia="pt-BR"/>
        </w:rPr>
        <w:t xml:space="preserve"> do frasco somado ao atuador;</w:t>
      </w:r>
    </w:p>
    <w:p w14:paraId="78AFB2C4"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III - diâmetros do </w:t>
      </w:r>
      <w:proofErr w:type="spellStart"/>
      <w:r w:rsidRPr="00487041">
        <w:rPr>
          <w:rFonts w:ascii="Times New Roman" w:hAnsi="Times New Roman"/>
          <w:sz w:val="24"/>
          <w:szCs w:val="24"/>
          <w:lang w:eastAsia="pt-BR"/>
        </w:rPr>
        <w:t>snap</w:t>
      </w:r>
      <w:proofErr w:type="spellEnd"/>
      <w:r w:rsidRPr="00487041">
        <w:rPr>
          <w:rFonts w:ascii="Times New Roman" w:hAnsi="Times New Roman"/>
          <w:sz w:val="24"/>
          <w:szCs w:val="24"/>
          <w:lang w:eastAsia="pt-BR"/>
        </w:rPr>
        <w:t xml:space="preserve"> </w:t>
      </w:r>
      <w:proofErr w:type="spellStart"/>
      <w:r w:rsidRPr="00487041">
        <w:rPr>
          <w:rFonts w:ascii="Times New Roman" w:hAnsi="Times New Roman"/>
          <w:sz w:val="24"/>
          <w:szCs w:val="24"/>
          <w:lang w:eastAsia="pt-BR"/>
        </w:rPr>
        <w:t>on</w:t>
      </w:r>
      <w:proofErr w:type="spellEnd"/>
      <w:r w:rsidRPr="00487041">
        <w:rPr>
          <w:rFonts w:ascii="Times New Roman" w:hAnsi="Times New Roman"/>
          <w:sz w:val="24"/>
          <w:szCs w:val="24"/>
          <w:lang w:eastAsia="pt-BR"/>
        </w:rPr>
        <w:t>;</w:t>
      </w:r>
    </w:p>
    <w:p w14:paraId="0769F135"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IV - </w:t>
      </w:r>
      <w:proofErr w:type="gramStart"/>
      <w:r w:rsidRPr="00487041">
        <w:rPr>
          <w:rFonts w:ascii="Times New Roman" w:hAnsi="Times New Roman"/>
          <w:sz w:val="24"/>
          <w:szCs w:val="24"/>
          <w:lang w:eastAsia="pt-BR"/>
        </w:rPr>
        <w:t>comprimento</w:t>
      </w:r>
      <w:proofErr w:type="gramEnd"/>
      <w:r w:rsidRPr="00487041">
        <w:rPr>
          <w:rFonts w:ascii="Times New Roman" w:hAnsi="Times New Roman"/>
          <w:sz w:val="24"/>
          <w:szCs w:val="24"/>
          <w:lang w:eastAsia="pt-BR"/>
        </w:rPr>
        <w:t xml:space="preserve"> do </w:t>
      </w:r>
      <w:proofErr w:type="spellStart"/>
      <w:r w:rsidRPr="00487041">
        <w:rPr>
          <w:rFonts w:ascii="Times New Roman" w:hAnsi="Times New Roman"/>
          <w:sz w:val="24"/>
          <w:szCs w:val="24"/>
          <w:lang w:eastAsia="pt-BR"/>
        </w:rPr>
        <w:t>pescante</w:t>
      </w:r>
      <w:proofErr w:type="spellEnd"/>
      <w:r w:rsidRPr="00487041">
        <w:rPr>
          <w:rFonts w:ascii="Times New Roman" w:hAnsi="Times New Roman"/>
          <w:sz w:val="24"/>
          <w:szCs w:val="24"/>
          <w:lang w:eastAsia="pt-BR"/>
        </w:rPr>
        <w:t>/haste interna (para spray nasal); e</w:t>
      </w:r>
    </w:p>
    <w:p w14:paraId="0657363B"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do modo de acoplamento do atuador ao frasco, quando couber, e do modo de ativação do atuador.</w:t>
      </w:r>
    </w:p>
    <w:p w14:paraId="5AC81CD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Art. 8º Para pós inalatórios orais deverão ser descritos os seguintes aspectos dos dispositivos:</w:t>
      </w:r>
    </w:p>
    <w:p w14:paraId="4A077923"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aparência</w:t>
      </w:r>
      <w:proofErr w:type="gramEnd"/>
      <w:r w:rsidRPr="00487041">
        <w:rPr>
          <w:rFonts w:ascii="Times New Roman" w:hAnsi="Times New Roman"/>
          <w:sz w:val="24"/>
          <w:szCs w:val="24"/>
          <w:lang w:eastAsia="pt-BR"/>
        </w:rPr>
        <w:t xml:space="preserve"> externa: material (plástico, vidro </w:t>
      </w:r>
      <w:proofErr w:type="spellStart"/>
      <w:r w:rsidRPr="00487041">
        <w:rPr>
          <w:rFonts w:ascii="Times New Roman" w:hAnsi="Times New Roman"/>
          <w:sz w:val="24"/>
          <w:szCs w:val="24"/>
          <w:lang w:eastAsia="pt-BR"/>
        </w:rPr>
        <w:t>etc</w:t>
      </w:r>
      <w:proofErr w:type="spellEnd"/>
      <w:r w:rsidRPr="00487041">
        <w:rPr>
          <w:rFonts w:ascii="Times New Roman" w:hAnsi="Times New Roman"/>
          <w:sz w:val="24"/>
          <w:szCs w:val="24"/>
          <w:lang w:eastAsia="pt-BR"/>
        </w:rPr>
        <w:t>) e cor do corpo e, quando couber, tampa protetora;</w:t>
      </w:r>
    </w:p>
    <w:p w14:paraId="1BBF186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dimensões</w:t>
      </w:r>
      <w:proofErr w:type="gramEnd"/>
      <w:r w:rsidRPr="00487041">
        <w:rPr>
          <w:rFonts w:ascii="Times New Roman" w:hAnsi="Times New Roman"/>
          <w:sz w:val="24"/>
          <w:szCs w:val="24"/>
          <w:lang w:eastAsia="pt-BR"/>
        </w:rPr>
        <w:t xml:space="preserve"> do corpo, incluindo as dimensões do bocal;</w:t>
      </w:r>
    </w:p>
    <w:p w14:paraId="0D189F82"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descrição do modo de ativação do dispositivo;</w:t>
      </w:r>
    </w:p>
    <w:p w14:paraId="04AC018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9º Para pós inalatórios orais do tipo disco nos quais a formulação esteja acondicionada em doses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xml:space="preserve"> unitárias (cápsulas) deverão ser descritos os seguintes aspectos do inalador:</w:t>
      </w:r>
    </w:p>
    <w:p w14:paraId="55C2DCC6"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aparência</w:t>
      </w:r>
      <w:proofErr w:type="gramEnd"/>
      <w:r w:rsidRPr="00487041">
        <w:rPr>
          <w:rFonts w:ascii="Times New Roman" w:hAnsi="Times New Roman"/>
          <w:sz w:val="24"/>
          <w:szCs w:val="24"/>
          <w:lang w:eastAsia="pt-BR"/>
        </w:rPr>
        <w:t xml:space="preserve"> externa: material (plástico, vidro etc.) e cor do corpo e tampa protetora;</w:t>
      </w:r>
    </w:p>
    <w:p w14:paraId="2F9C7E22"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dimensões</w:t>
      </w:r>
      <w:proofErr w:type="gramEnd"/>
      <w:r w:rsidRPr="00487041">
        <w:rPr>
          <w:rFonts w:ascii="Times New Roman" w:hAnsi="Times New Roman"/>
          <w:sz w:val="24"/>
          <w:szCs w:val="24"/>
          <w:lang w:eastAsia="pt-BR"/>
        </w:rPr>
        <w:t xml:space="preserve"> do corpo, base e ninho do inalador, incluindo as dimensões do bocal; e</w:t>
      </w:r>
    </w:p>
    <w:p w14:paraId="219FAEE7"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descrição do modo de abertura e fechamento da base, para carregar ou inserir a dose, do modo de ativação do inalador para perfuração da cápsula e do modo de perfuração propriamente dita (se longitudinal, transversal ou outro em relação ao eixo da cápsula).</w:t>
      </w:r>
    </w:p>
    <w:p w14:paraId="0605918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10. Nos casos em que os produtos pretendem ser intercambiáveis, o aspecto dos dispositivos do medicamento teste deve ser </w:t>
      </w:r>
      <w:proofErr w:type="gramStart"/>
      <w:r w:rsidRPr="00487041">
        <w:rPr>
          <w:rFonts w:ascii="Times New Roman" w:hAnsi="Times New Roman"/>
          <w:sz w:val="24"/>
          <w:szCs w:val="24"/>
          <w:lang w:eastAsia="pt-BR"/>
        </w:rPr>
        <w:t>os mais próximo possível</w:t>
      </w:r>
      <w:proofErr w:type="gramEnd"/>
      <w:r w:rsidRPr="00487041">
        <w:rPr>
          <w:rFonts w:ascii="Times New Roman" w:hAnsi="Times New Roman"/>
          <w:sz w:val="24"/>
          <w:szCs w:val="24"/>
          <w:lang w:eastAsia="pt-BR"/>
        </w:rPr>
        <w:t xml:space="preserve"> do medicamento de referência.</w:t>
      </w:r>
    </w:p>
    <w:p w14:paraId="1EAC0DE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O manuseio do medicamento teste deve ser semelhante ao do medicamento referência.</w:t>
      </w:r>
    </w:p>
    <w:p w14:paraId="499E436A"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Deverá ser apresentado racional que justifica a semelhança entre o manuseio do medicamento teste e medicamento de referência.</w:t>
      </w:r>
    </w:p>
    <w:p w14:paraId="578D13F2"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11. O Certificado de Equivalência Farmacêutica ou de Provas de Desempenho deve reportar o aspecto do medicamento e do medicamento de referência/comparador. Parágrafo único. O aspecto da formulação é um ensaio informativo.</w:t>
      </w:r>
    </w:p>
    <w:p w14:paraId="5A430DF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12. Devem fazer parte do Protocolo e Relatório de estudo de equivalência farmacêutica ou de provas de desempenho, os seguintes documentos e informações relacionados ao ensaio em questão, a serem apresentados à Anvisa:</w:t>
      </w:r>
    </w:p>
    <w:p w14:paraId="597BC1E0"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cópia</w:t>
      </w:r>
      <w:proofErr w:type="gramEnd"/>
      <w:r w:rsidRPr="00487041">
        <w:rPr>
          <w:rFonts w:ascii="Times New Roman" w:hAnsi="Times New Roman"/>
          <w:sz w:val="24"/>
          <w:szCs w:val="24"/>
          <w:lang w:eastAsia="pt-BR"/>
        </w:rPr>
        <w:t xml:space="preserve"> das folhas ou fichas de análise de cada um dos parâmetros avaliados no aspecto da formulação e do dispositivo; e</w:t>
      </w:r>
    </w:p>
    <w:p w14:paraId="7BC9A5F5"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fotografias</w:t>
      </w:r>
      <w:proofErr w:type="gramEnd"/>
      <w:r w:rsidRPr="00487041">
        <w:rPr>
          <w:rFonts w:ascii="Times New Roman" w:hAnsi="Times New Roman"/>
          <w:sz w:val="24"/>
          <w:szCs w:val="24"/>
          <w:lang w:eastAsia="pt-BR"/>
        </w:rPr>
        <w:t xml:space="preserve"> dos dispositivos dos medicamentos teste e de referência ou comparador.</w:t>
      </w:r>
    </w:p>
    <w:p w14:paraId="01F0A450"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Art. 13. A avaliação do aspecto do dispositivo ou do inalador do medicamento teste pode ser substituída por uma declaração de seus fabricantes de que fornecem os mesmos produtos do medicamento de referência/comparador.</w:t>
      </w:r>
    </w:p>
    <w:p w14:paraId="07DC51BB"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14. O patrocinador do estudo deve fornecer ao centro responsável pelo estudo as especificações e critérios de aceitação dos aspectos da formulação, do dispositivo e do inalador do medicamento teste.</w:t>
      </w:r>
    </w:p>
    <w:p w14:paraId="2A381D0C"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II</w:t>
      </w:r>
    </w:p>
    <w:p w14:paraId="45BF22FA"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Carga e Recarga</w:t>
      </w:r>
    </w:p>
    <w:p w14:paraId="50ADA24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15. O ensaio de carga e recarga deverá ser conduzido utilizando, no mínimo, trinta dispositivos de três lotes do medicamento teste, sendo dez dispositivos de cada lote e trinta dispositivos de três lotes do medicamento de referência/comparador, sendo dez dispositivos de cada lote, ou trinta dispositivos de um lote desse medicamento para spray nasal, aerossol nasal e aerossol inalatório oral.</w:t>
      </w:r>
    </w:p>
    <w:p w14:paraId="3038657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Para solução spray nasal, poderão ser utilizados, no mínimo, trinta dispositivos de um lote do medicamento teste ou do medicamento referência/comparador; e</w:t>
      </w:r>
    </w:p>
    <w:p w14:paraId="7E98C1D1"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O número de amostras deve ser suficiente para se obter trinta resultados de cada parâmetro para cada um dos medicamentos em análise.</w:t>
      </w:r>
    </w:p>
    <w:p w14:paraId="4550755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16. Deverá ser utilizado um aparato para coleta das doses liberadas e, quando necessários, acessórios, preconizados em compêndios oficiais, que sejam adequados à forma farmacêutica em estudo.</w:t>
      </w:r>
    </w:p>
    <w:p w14:paraId="3AB2AC1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Parágrafo único. As devidas calibrações e verificações do aparato deverão ser realizadas de acordo com o preconizado em compêndios oficiais.</w:t>
      </w:r>
    </w:p>
    <w:p w14:paraId="73803F73"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17. O ensaio de carga e recarga deverá ser conduzido da seguinte forma:</w:t>
      </w:r>
    </w:p>
    <w:p w14:paraId="1A0F03D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coletar</w:t>
      </w:r>
      <w:proofErr w:type="gramEnd"/>
      <w:r w:rsidRPr="00487041">
        <w:rPr>
          <w:rFonts w:ascii="Times New Roman" w:hAnsi="Times New Roman"/>
          <w:sz w:val="24"/>
          <w:szCs w:val="24"/>
          <w:lang w:eastAsia="pt-BR"/>
        </w:rPr>
        <w:t xml:space="preserve"> o conteúdo liberado por um único acionamento no início do conteúdo dos dispositivos, imediatamente após a sua preparação (ensaio de carga);</w:t>
      </w:r>
    </w:p>
    <w:p w14:paraId="4D13C3BF"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armazenar</w:t>
      </w:r>
      <w:proofErr w:type="gramEnd"/>
      <w:r w:rsidRPr="00487041">
        <w:rPr>
          <w:rFonts w:ascii="Times New Roman" w:hAnsi="Times New Roman"/>
          <w:sz w:val="24"/>
          <w:szCs w:val="24"/>
          <w:lang w:eastAsia="pt-BR"/>
        </w:rPr>
        <w:t xml:space="preserve"> as amostras pelo período e orientações descritos na bula do medicamento de referência/comparador. Se o período de não utilização do medicamento, para o qual haveria a necessidade de uma recarga do dispositivo, não estiver claramente descrito na bula do medicamento de referência, o centro responsável pelo estudo deve adotar um único período, dentro da faixa de 4 a 7 dias. Se as orientações de armazenamento ou administração do dispositivo não estiver(em) claramente descritas na mencionada bula, o centro deve adotar múltiplas orientações, como horizontal, vertical e invertida; </w:t>
      </w:r>
    </w:p>
    <w:p w14:paraId="0A495267"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coletar o conteúdo liberado por um único acionamento, imediatamente após a recarga dos dispositivos (ensaio de recarga); e</w:t>
      </w:r>
    </w:p>
    <w:p w14:paraId="39EAEEF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IV - Determinar, para cada dispositivo testado, a quantidade do ingrediente farmacêutico ativo por acionamento depositada no aparato de coleta de doses, de acordo com o respectivo método de teor disposto na monografia individual da Farmacopeia Brasileira, preferencialmente, ou de outros compêndios oficiais; ou, na ausência desses, com o método de teor, devidamente validado, adotado pelo patrocinador do estudo.</w:t>
      </w:r>
    </w:p>
    <w:p w14:paraId="04DF5B3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Os dados do ensaio de carga podem ser estabelecidos a partir dos dados do início do conteúdo dos dispositivos obtidos do ensaio de Conteúdo de um Acionamento sobre o Conteúdo Total do Dispositivo.</w:t>
      </w:r>
    </w:p>
    <w:p w14:paraId="07BC329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As médias geométricas dos trinta resultados do ensaio de carga e dos trinta resultados do ensaio de recarga devem estar compreendidas no intervalo de 95%-105% do valor rotulado de cada um dos produtos.</w:t>
      </w:r>
    </w:p>
    <w:p w14:paraId="59EE89C0"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 3º </w:t>
      </w:r>
      <w:proofErr w:type="gramStart"/>
      <w:r w:rsidRPr="00487041">
        <w:rPr>
          <w:rFonts w:ascii="Times New Roman" w:hAnsi="Times New Roman"/>
          <w:sz w:val="24"/>
          <w:szCs w:val="24"/>
          <w:lang w:eastAsia="pt-BR"/>
        </w:rPr>
        <w:t>Os resultados do medicamento teste</w:t>
      </w:r>
      <w:proofErr w:type="gramEnd"/>
      <w:r w:rsidRPr="00487041">
        <w:rPr>
          <w:rFonts w:ascii="Times New Roman" w:hAnsi="Times New Roman"/>
          <w:sz w:val="24"/>
          <w:szCs w:val="24"/>
          <w:lang w:eastAsia="pt-BR"/>
        </w:rPr>
        <w:t xml:space="preserve"> e do medicamento de referência devem atender ao mesmo critério de aceitação.</w:t>
      </w:r>
    </w:p>
    <w:p w14:paraId="2F2766FD"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4º Caso a sensibilidade do método não permita a quantificação do ingrediente farmacêutico ativo a partir de um único acionamento, ou seja, a avaliação de uma atuação não permita obter um único resultado podem ser utilizados mais acionamentos para obter o resultado, desde que apresentada justificativa.</w:t>
      </w:r>
    </w:p>
    <w:p w14:paraId="15A6C26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5º O número de acionamentos utilizados na condução do ensaio deve ser registrado no Relatório do Estudo.</w:t>
      </w:r>
    </w:p>
    <w:p w14:paraId="397C3EE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18. O Certificado de Equivalência Farmacêutica ou de Provas de Desempenho deve reportar os resultados das médias geométricas calculadas, tanto para o medicamento teste como para o medicamento referência/comparador.</w:t>
      </w:r>
    </w:p>
    <w:p w14:paraId="6E87310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19. Devem fazer parte do Protocolo e Relatório de estudo de equivalência farmacêutica ou de provas de desempenho, os seguintes documentos e informações, relacionados ao ensaio em questão, a serem apresentados à Anvisa:</w:t>
      </w:r>
    </w:p>
    <w:p w14:paraId="53711AC8"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completa do aparato de coleta de doses e, quando presentes, dos acessórios utilizados;</w:t>
      </w:r>
    </w:p>
    <w:p w14:paraId="351D55E1"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dos parâmetros, e seus critérios de aceitação, que devem ser controlados no aparato de coleta de doses e, quando presentes, em seus acessórios, para otimização do método, de acordo com o determinado por seus fabricantes;</w:t>
      </w:r>
    </w:p>
    <w:p w14:paraId="41746FCE"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registro dos controles realizados no aparato de coleta de doses e, quando presentes, em seus acessórios, previamente e, quando couber, durante a condução do ensaio com amostras do medicamento teste e do medicamento de referência/comparador;</w:t>
      </w:r>
    </w:p>
    <w:p w14:paraId="2AF20E39"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IV- </w:t>
      </w:r>
      <w:proofErr w:type="gramStart"/>
      <w:r w:rsidRPr="00487041">
        <w:rPr>
          <w:rFonts w:ascii="Times New Roman" w:hAnsi="Times New Roman"/>
          <w:sz w:val="24"/>
          <w:szCs w:val="24"/>
          <w:lang w:eastAsia="pt-BR"/>
        </w:rPr>
        <w:t>detalhamento</w:t>
      </w:r>
      <w:proofErr w:type="gramEnd"/>
      <w:r w:rsidRPr="00487041">
        <w:rPr>
          <w:rFonts w:ascii="Times New Roman" w:hAnsi="Times New Roman"/>
          <w:sz w:val="24"/>
          <w:szCs w:val="24"/>
          <w:lang w:eastAsia="pt-BR"/>
        </w:rPr>
        <w:t xml:space="preserve"> do cálculo da quantidade do ingrediente farmacêutico ativo por atuação, das amostras do medicamento teste e das do medicamento de referência/comparador; cópia de folhas de cálculo, </w:t>
      </w:r>
      <w:proofErr w:type="spellStart"/>
      <w:r w:rsidRPr="00487041">
        <w:rPr>
          <w:rFonts w:ascii="Times New Roman" w:hAnsi="Times New Roman"/>
          <w:sz w:val="24"/>
          <w:szCs w:val="24"/>
          <w:lang w:eastAsia="pt-BR"/>
        </w:rPr>
        <w:t>cromatogramas</w:t>
      </w:r>
      <w:proofErr w:type="spellEnd"/>
      <w:r w:rsidRPr="00487041">
        <w:rPr>
          <w:rFonts w:ascii="Times New Roman" w:hAnsi="Times New Roman"/>
          <w:sz w:val="24"/>
          <w:szCs w:val="24"/>
          <w:lang w:eastAsia="pt-BR"/>
        </w:rPr>
        <w:t xml:space="preserve">, espectrogramas ou </w:t>
      </w:r>
      <w:r w:rsidRPr="00487041">
        <w:rPr>
          <w:rFonts w:ascii="Times New Roman" w:hAnsi="Times New Roman"/>
          <w:sz w:val="24"/>
          <w:szCs w:val="24"/>
          <w:lang w:eastAsia="pt-BR"/>
        </w:rPr>
        <w:lastRenderedPageBreak/>
        <w:t>outros registros analíticos e gráficos derivados das análises das amostras do medicamento teste e das do medicamento de referência/comparador; e</w:t>
      </w:r>
    </w:p>
    <w:p w14:paraId="23187920"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w:t>
      </w:r>
      <w:proofErr w:type="gramStart"/>
      <w:r w:rsidRPr="00487041">
        <w:rPr>
          <w:rFonts w:ascii="Times New Roman" w:hAnsi="Times New Roman"/>
          <w:sz w:val="24"/>
          <w:szCs w:val="24"/>
          <w:lang w:eastAsia="pt-BR"/>
        </w:rPr>
        <w:t>arquivo</w:t>
      </w:r>
      <w:proofErr w:type="gramEnd"/>
      <w:r w:rsidRPr="00487041">
        <w:rPr>
          <w:rFonts w:ascii="Times New Roman" w:hAnsi="Times New Roman"/>
          <w:sz w:val="24"/>
          <w:szCs w:val="24"/>
          <w:lang w:eastAsia="pt-BR"/>
        </w:rPr>
        <w:t xml:space="preserve"> eletrônico de tabela contendo dados brutos dos ensaios e o cálculo das médias geométricas obtidas das amostras do medicamento teste e das do medicamento de referência/comparador.</w:t>
      </w:r>
    </w:p>
    <w:p w14:paraId="7CEB80FC"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Parágrafo único. No caso do inciso VI deste artigo, em sendo utilizadas planilhas ou arquivos eletrônicos, devem ser enviadas cópias em CD-ROM ou outro dispositivo de armazenamento.</w:t>
      </w:r>
    </w:p>
    <w:p w14:paraId="71C044DF"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III</w:t>
      </w:r>
    </w:p>
    <w:p w14:paraId="781F0CA1"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Conteúdo de um Acionamento sobre o Conteúdo Total do Dispositivo</w:t>
      </w:r>
    </w:p>
    <w:p w14:paraId="5A3472CC"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20. O ensaio de conteúdo de um acionamento sobre o conteúdo total do dispositivo deverá ser conduzido utilizando, no mínimo, trinta dispositivos de três lotes do medicamento teste, sendo dez dispositivos de cada lote; e trinta dispositivos de três lotes do medicamento de referência/comparador, sendo dez dispositivos de cada lote, ou trinta dispositivos de um lote desse medicamento.</w:t>
      </w:r>
    </w:p>
    <w:p w14:paraId="2924F51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Para solução spray nasal, poderão ser utilizados, no mínimo, trinta dispositivos de um lote do medicamento teste ou do medicamento referência/comparador;</w:t>
      </w:r>
    </w:p>
    <w:p w14:paraId="09DC6727"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 2º Nos casos de pós inalatórios orais do tipo disco nos quais as doses estão acondicionadas em doses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xml:space="preserve"> unitárias, o ensaio deverá ser conduzido utilizando, no mínimo, trinta unidades de três lotes do medicamento teste, sendo dez unidades de cada lote; e trinta unidades de três lotes do medicamento de referência/comparador, sendo dez unidades de cada lote, ou trinta unidades de um lote desse medicamento; e</w:t>
      </w:r>
    </w:p>
    <w:p w14:paraId="676E022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3º O número de amostras deve ser suficiente para se obter trinta resultados de cada parâmetro para cada um dos medicamentos em análise.</w:t>
      </w:r>
    </w:p>
    <w:p w14:paraId="025695B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21. Deverá ser utilizado um aparato para coleta das doses liberadas e, quando necessários, acessórios preconizados em compêndios oficiais, que sejam adequados à forma farmacêutica em estudo.</w:t>
      </w:r>
    </w:p>
    <w:p w14:paraId="4EB9B896"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Parágrafo único. As devidas calibrações e verificações do aparato deverão ser realizadas de acordo com o preconizado em compêndios oficiais.</w:t>
      </w:r>
    </w:p>
    <w:p w14:paraId="45EB340D"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22. No caso de sprays nasais e pós inalatórios orais, devem ser avaliados, separadamente para cada dispositivo testado:</w:t>
      </w:r>
    </w:p>
    <w:p w14:paraId="6B38B43B"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o</w:t>
      </w:r>
      <w:proofErr w:type="gramEnd"/>
      <w:r w:rsidRPr="00487041">
        <w:rPr>
          <w:rFonts w:ascii="Times New Roman" w:hAnsi="Times New Roman"/>
          <w:sz w:val="24"/>
          <w:szCs w:val="24"/>
          <w:lang w:eastAsia="pt-BR"/>
        </w:rPr>
        <w:t xml:space="preserve"> conteúdo liberado por um único acionamento do início do conteúdo do dispositivo, imediatamente após sua preparação; e</w:t>
      </w:r>
    </w:p>
    <w:p w14:paraId="79672FA5"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o</w:t>
      </w:r>
      <w:proofErr w:type="gramEnd"/>
      <w:r w:rsidRPr="00487041">
        <w:rPr>
          <w:rFonts w:ascii="Times New Roman" w:hAnsi="Times New Roman"/>
          <w:sz w:val="24"/>
          <w:szCs w:val="24"/>
          <w:lang w:eastAsia="pt-BR"/>
        </w:rPr>
        <w:t xml:space="preserve"> conteúdo liberado por um único acionamento do final do conteúdo do dispositivo.</w:t>
      </w:r>
    </w:p>
    <w:p w14:paraId="069BC2A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 xml:space="preserve">Art. 23. Nos casos de pós inalatórios orais do tipo disco nos quais as doses estejam acondicionadas em doses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xml:space="preserve"> unitárias, deve ser avaliado, separadamente, o conteúdo de cada unidade testada, utilizando o inalador do respectivo lote da unidade avaliada.</w:t>
      </w:r>
    </w:p>
    <w:p w14:paraId="2087684C"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24. No caso de aerossol nasal e aerossol inalatório oral, devem ser avaliados, separadamente para cada dispositivo testado:</w:t>
      </w:r>
    </w:p>
    <w:p w14:paraId="05B8E71B"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o</w:t>
      </w:r>
      <w:proofErr w:type="gramEnd"/>
      <w:r w:rsidRPr="00487041">
        <w:rPr>
          <w:rFonts w:ascii="Times New Roman" w:hAnsi="Times New Roman"/>
          <w:sz w:val="24"/>
          <w:szCs w:val="24"/>
          <w:lang w:eastAsia="pt-BR"/>
        </w:rPr>
        <w:t xml:space="preserve"> conteúdo liberado por um único acionamento do início do conteúdo do dispositivo, imediatamente após sua preparação;</w:t>
      </w:r>
    </w:p>
    <w:p w14:paraId="2186B2D4"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o</w:t>
      </w:r>
      <w:proofErr w:type="gramEnd"/>
      <w:r w:rsidRPr="00487041">
        <w:rPr>
          <w:rFonts w:ascii="Times New Roman" w:hAnsi="Times New Roman"/>
          <w:sz w:val="24"/>
          <w:szCs w:val="24"/>
          <w:lang w:eastAsia="pt-BR"/>
        </w:rPr>
        <w:t xml:space="preserve"> conteúdo liberado por um único acionamento do meio do dispositivo, ou seja, aquela correspondente a 50% do número rotulado de atuações; e</w:t>
      </w:r>
    </w:p>
    <w:p w14:paraId="4787357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o conteúdo liberado por um único acionamento do final do conteúdo do dispositivo.</w:t>
      </w:r>
    </w:p>
    <w:p w14:paraId="291A4CBA"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25. Para cada dispositivo ou unidade testados, deve ser determinada a quantidade de ingrediente farmacêutico ativo por acionamento depositada no aparato de coleta de doses, de acordo com o respectivo método de teor disposto, preferencialmente, na monografia individual da Farmacopeia Brasileira, ou de outros compêndios oficiais; ou, na ausência desses, com o método de teor, devidamente validado, adotado pelo patrocinador do estudo.</w:t>
      </w:r>
    </w:p>
    <w:p w14:paraId="70FE4E2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Caso a sensibilidade do método não permita a quantificação do ingrediente farmacêutico ativo a partir de um único acionamento, ou seja, a avaliação de uma atuação não permita obter um único resultado podem ser utilizados mais acionamentos para obter o resultado, desde que apresentada justificativa.</w:t>
      </w:r>
    </w:p>
    <w:p w14:paraId="67089B5C"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O número de acionamentos utilizados na condução do ensaio deve ser registrado no Relatório do Estudo.</w:t>
      </w:r>
    </w:p>
    <w:p w14:paraId="503D01F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26. No caso de sprays e aerossóis nasais, aerossóis inalatórios orais e pós inalatórios orais, deve ser realizada análise estatística de bioequivalência populacional, segundo disposto nesta Instrução Normativa, separadamente nos resultados obtidos do:</w:t>
      </w:r>
    </w:p>
    <w:p w14:paraId="4F826AD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início</w:t>
      </w:r>
      <w:proofErr w:type="gramEnd"/>
      <w:r w:rsidRPr="00487041">
        <w:rPr>
          <w:rFonts w:ascii="Times New Roman" w:hAnsi="Times New Roman"/>
          <w:sz w:val="24"/>
          <w:szCs w:val="24"/>
          <w:lang w:eastAsia="pt-BR"/>
        </w:rPr>
        <w:t xml:space="preserve"> dos dispositivos (trinta resultados); e</w:t>
      </w:r>
    </w:p>
    <w:p w14:paraId="594A178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final</w:t>
      </w:r>
      <w:proofErr w:type="gramEnd"/>
      <w:r w:rsidRPr="00487041">
        <w:rPr>
          <w:rFonts w:ascii="Times New Roman" w:hAnsi="Times New Roman"/>
          <w:sz w:val="24"/>
          <w:szCs w:val="24"/>
          <w:lang w:eastAsia="pt-BR"/>
        </w:rPr>
        <w:t xml:space="preserve"> dos dispositivos (trinta resultados).</w:t>
      </w:r>
    </w:p>
    <w:p w14:paraId="0A75197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Parágrafo único. No caso de pós inalatórios orais do tipo disco nos quais as doses estejam acondicionadas em dose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xml:space="preserve"> unitárias, deve ser realizada análise estatística de bioequivalência populacional separadamente nos trinta resultados obtidos das unidades testadas.</w:t>
      </w:r>
    </w:p>
    <w:p w14:paraId="495FB7E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27. O Certificado de Equivalência Farmacêutica ou de Provas de Desempenho deve reportar os resultados da análise estatística de bioequivalência populacional, para cada parâmetro avaliado, tanto para o medicamento teste como para o medicamento referência/comparador.</w:t>
      </w:r>
    </w:p>
    <w:p w14:paraId="781E5362"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Art. 28. Devem fazer parte do Protocolo e Relatório de estudo de equivalência farmacêutica ou de provas de desempenho, os seguintes documentos e informações relacionados ao ensaio em questão, a serem apresentados à Anvisa:</w:t>
      </w:r>
    </w:p>
    <w:p w14:paraId="3E71C13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completa do aparato de coleta de doses e, quando presentes, dos acessórios utilizados;</w:t>
      </w:r>
    </w:p>
    <w:p w14:paraId="2D0E93D4"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dos parâmetros, e seus critérios de aceitação, que devem ser controlados no aparato de coleta de doses e, quando presentes, em seus acessórios, para otimização do método, de acordo com o determinado por seus fabricantes; </w:t>
      </w:r>
    </w:p>
    <w:p w14:paraId="234A09F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registro dos controles realizados no aparato de coleta de doses e, quando presentes, em seus acessórios, previamente e, quando couber, durante a condução do ensaio com amostras do medicamento teste e do medicamento de referência/comparador;</w:t>
      </w:r>
    </w:p>
    <w:p w14:paraId="6A6D8D1E"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IV - </w:t>
      </w:r>
      <w:proofErr w:type="gramStart"/>
      <w:r w:rsidRPr="00487041">
        <w:rPr>
          <w:rFonts w:ascii="Times New Roman" w:hAnsi="Times New Roman"/>
          <w:sz w:val="24"/>
          <w:szCs w:val="24"/>
          <w:lang w:eastAsia="pt-BR"/>
        </w:rPr>
        <w:t>detalhamento</w:t>
      </w:r>
      <w:proofErr w:type="gramEnd"/>
      <w:r w:rsidRPr="00487041">
        <w:rPr>
          <w:rFonts w:ascii="Times New Roman" w:hAnsi="Times New Roman"/>
          <w:sz w:val="24"/>
          <w:szCs w:val="24"/>
          <w:lang w:eastAsia="pt-BR"/>
        </w:rPr>
        <w:t xml:space="preserve"> do cálculo da quantidade do ingrediente farmacêutico ativo por acionamento, das amostras do medicamento teste e das do medicamento de referência/comparador;</w:t>
      </w:r>
    </w:p>
    <w:p w14:paraId="07CB94D0"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cópia</w:t>
      </w:r>
      <w:proofErr w:type="gramEnd"/>
      <w:r w:rsidRPr="00487041">
        <w:rPr>
          <w:rFonts w:ascii="Times New Roman" w:hAnsi="Times New Roman"/>
          <w:sz w:val="24"/>
          <w:szCs w:val="24"/>
          <w:lang w:eastAsia="pt-BR"/>
        </w:rPr>
        <w:t xml:space="preserve"> de folhas de cálculo, </w:t>
      </w:r>
      <w:proofErr w:type="spellStart"/>
      <w:r w:rsidRPr="00487041">
        <w:rPr>
          <w:rFonts w:ascii="Times New Roman" w:hAnsi="Times New Roman"/>
          <w:sz w:val="24"/>
          <w:szCs w:val="24"/>
          <w:lang w:eastAsia="pt-BR"/>
        </w:rPr>
        <w:t>cromatogramas</w:t>
      </w:r>
      <w:proofErr w:type="spellEnd"/>
      <w:r w:rsidRPr="00487041">
        <w:rPr>
          <w:rFonts w:ascii="Times New Roman" w:hAnsi="Times New Roman"/>
          <w:sz w:val="24"/>
          <w:szCs w:val="24"/>
          <w:lang w:eastAsia="pt-BR"/>
        </w:rPr>
        <w:t>, espectrogramas ou outros registros analíticos e gráficos derivados das análises das amostras do medicamento teste e das do medicamento de referência/comparador; e</w:t>
      </w:r>
    </w:p>
    <w:p w14:paraId="2818AC0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 - </w:t>
      </w:r>
      <w:proofErr w:type="gramStart"/>
      <w:r w:rsidRPr="00487041">
        <w:rPr>
          <w:rFonts w:ascii="Times New Roman" w:hAnsi="Times New Roman"/>
          <w:sz w:val="24"/>
          <w:szCs w:val="24"/>
          <w:lang w:eastAsia="pt-BR"/>
        </w:rPr>
        <w:t>arquivo</w:t>
      </w:r>
      <w:proofErr w:type="gramEnd"/>
      <w:r w:rsidRPr="00487041">
        <w:rPr>
          <w:rFonts w:ascii="Times New Roman" w:hAnsi="Times New Roman"/>
          <w:sz w:val="24"/>
          <w:szCs w:val="24"/>
          <w:lang w:eastAsia="pt-BR"/>
        </w:rPr>
        <w:t xml:space="preserve"> eletrônico contendo tabela todos os dados brutos obtidos e toda a análise estatística de bioequivalência populacional aplicada nos resultados das amostras do medicamento teste e das do medicamento de referência/comparador.</w:t>
      </w:r>
    </w:p>
    <w:p w14:paraId="558C78C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Parágrafo único. No caso do inciso VI deste artigo, em sendo utilizadas planilhas ou arquivos eletrônicos, devem ser enviadas cópias em CD-ROM ou outro dispositivo de armazenamento.</w:t>
      </w:r>
    </w:p>
    <w:p w14:paraId="0902949C"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IV</w:t>
      </w:r>
    </w:p>
    <w:p w14:paraId="430BD321"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Conteúdo Entregue pela Nebulização</w:t>
      </w:r>
    </w:p>
    <w:p w14:paraId="37AF642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29. O ensaio de conteúdo entregue pela nebulização deverá ser conduzido utilizando trinta unidades de três lotes do medicamento teste, sendo dez unidades de cada lote; e trinta unidades de três lotes do medicamento de referência/comparador, sendo dez unidades de cada lote, ou trinta unidades de um lote desse medicamento. § 1º No caso de soluções para nebulização, podem ser utilizados, no mínimo, trinta unidades de um lote tanto do medicamento teste quanto do de referência/comparador; § 2º O número de amostras deve ser suficiente para se obter trinta resultados de cada parâmetro para cada um dos medicamentos em análise.</w:t>
      </w:r>
    </w:p>
    <w:p w14:paraId="5EA19A0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30. Deverá ser utilizado um aparato para coleta das doses liberadas e, quando necessários, acessórios preconizados em compêndios oficiais, que sejam adequados à forma farmacêutica em estudo. Art. 31. Deverá ser avaliado, separadamente, para cada </w:t>
      </w:r>
      <w:r w:rsidRPr="00487041">
        <w:rPr>
          <w:rFonts w:ascii="Times New Roman" w:hAnsi="Times New Roman"/>
          <w:sz w:val="24"/>
          <w:szCs w:val="24"/>
          <w:lang w:eastAsia="pt-BR"/>
        </w:rPr>
        <w:lastRenderedPageBreak/>
        <w:t>unidade testada, o conteúdo liberado em um fluxo de 5,5 L/min do início da nebulização, até o momento em que não haja névoa.</w:t>
      </w:r>
    </w:p>
    <w:p w14:paraId="789F26C1"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32. Para cada unidade testada, deve ser determinada a quantidade de ingrediente farmacêutico ativo por nebulização depositada no aparato de coleta de doses, de acordo com o respectivo método de teor disposto na monografia individual da Farmacopeia Brasileira, preferencialmente, ou de outros compêndios oficiais; ou, na ausência desses, com o método de teor, devidamente validado, adotado pelo patrocinador do estudo.</w:t>
      </w:r>
    </w:p>
    <w:p w14:paraId="0C9EB201"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33. Deverá ser realizada análise estatística de bioequivalência populacional separadamente nos trinta resultados obtidos das unidades testadas.</w:t>
      </w:r>
    </w:p>
    <w:p w14:paraId="3F1F757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34. O Certificado de Equivalência Farmacêutica ou de Provas de Desempenho deve reportar os resultados da análise estatística de bioequivalência populacional, tanto para o medicamento teste como para o medicamento referência/comparador.</w:t>
      </w:r>
    </w:p>
    <w:p w14:paraId="34E9B99C"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35. Devem fazer parte do Protocolo e Relatório de estudo de equivalência farmacêutica ou de provas de desempenho os seguintes documentos e informações, relacionados ao ensaio em questão, a serem apresentados à Anvisa:</w:t>
      </w:r>
    </w:p>
    <w:p w14:paraId="058260AE"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completa do aparato de coleta de doses e, quando presentes, dos acessórios utilizados;</w:t>
      </w:r>
    </w:p>
    <w:p w14:paraId="75C39FDE"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dos parâmetros, e seus critérios de aceitação, que devem ser controlados no aparato de coleta de doses e, quando presentes, em seus acessórios, para otimização do método, de acordo com o determinado por seus fabricantes;</w:t>
      </w:r>
    </w:p>
    <w:p w14:paraId="6CD8EB60"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registro dos controles realizados no aparato de coleta de doses e, quando presentes, em seus acessórios, previamente e, quando couber, durante a condução do ensaio com amostras do medicamento teste e do medicamento de referência</w:t>
      </w:r>
      <w:r w:rsidRPr="00487041">
        <w:rPr>
          <w:rFonts w:ascii="Times New Roman" w:hAnsi="Times New Roman"/>
          <w:b/>
          <w:bCs/>
          <w:sz w:val="24"/>
          <w:szCs w:val="24"/>
          <w:lang w:eastAsia="pt-BR"/>
        </w:rPr>
        <w:t>/</w:t>
      </w:r>
      <w:r w:rsidRPr="00487041">
        <w:rPr>
          <w:rFonts w:ascii="Times New Roman" w:hAnsi="Times New Roman"/>
          <w:sz w:val="24"/>
          <w:szCs w:val="24"/>
          <w:lang w:eastAsia="pt-BR"/>
        </w:rPr>
        <w:t>comparador;</w:t>
      </w:r>
    </w:p>
    <w:p w14:paraId="58CAB916"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IV - </w:t>
      </w:r>
      <w:proofErr w:type="gramStart"/>
      <w:r w:rsidRPr="00487041">
        <w:rPr>
          <w:rFonts w:ascii="Times New Roman" w:hAnsi="Times New Roman"/>
          <w:sz w:val="24"/>
          <w:szCs w:val="24"/>
          <w:lang w:eastAsia="pt-BR"/>
        </w:rPr>
        <w:t>detalhamento</w:t>
      </w:r>
      <w:proofErr w:type="gramEnd"/>
      <w:r w:rsidRPr="00487041">
        <w:rPr>
          <w:rFonts w:ascii="Times New Roman" w:hAnsi="Times New Roman"/>
          <w:sz w:val="24"/>
          <w:szCs w:val="24"/>
          <w:lang w:eastAsia="pt-BR"/>
        </w:rPr>
        <w:t xml:space="preserve"> do cálculo da quantidade do ingrediente farmacêutico ativo, das amostras do medicamento teste e das do medicamento de referência/comparador;</w:t>
      </w:r>
    </w:p>
    <w:p w14:paraId="742B5A87"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cópia</w:t>
      </w:r>
      <w:proofErr w:type="gramEnd"/>
      <w:r w:rsidRPr="00487041">
        <w:rPr>
          <w:rFonts w:ascii="Times New Roman" w:hAnsi="Times New Roman"/>
          <w:sz w:val="24"/>
          <w:szCs w:val="24"/>
          <w:lang w:eastAsia="pt-BR"/>
        </w:rPr>
        <w:t xml:space="preserve"> de folhas de cálculo, </w:t>
      </w:r>
      <w:proofErr w:type="spellStart"/>
      <w:r w:rsidRPr="00487041">
        <w:rPr>
          <w:rFonts w:ascii="Times New Roman" w:hAnsi="Times New Roman"/>
          <w:sz w:val="24"/>
          <w:szCs w:val="24"/>
          <w:lang w:eastAsia="pt-BR"/>
        </w:rPr>
        <w:t>cromatogramas</w:t>
      </w:r>
      <w:proofErr w:type="spellEnd"/>
      <w:r w:rsidRPr="00487041">
        <w:rPr>
          <w:rFonts w:ascii="Times New Roman" w:hAnsi="Times New Roman"/>
          <w:sz w:val="24"/>
          <w:szCs w:val="24"/>
          <w:lang w:eastAsia="pt-BR"/>
        </w:rPr>
        <w:t>, espectrogramas ou outros registros analíticos e gráficos derivados das análises das amostras do medicamento teste e das do medicamento de referência/comparador; e</w:t>
      </w:r>
    </w:p>
    <w:p w14:paraId="3E3CEF92"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 - </w:t>
      </w:r>
      <w:proofErr w:type="gramStart"/>
      <w:r w:rsidRPr="00487041">
        <w:rPr>
          <w:rFonts w:ascii="Times New Roman" w:hAnsi="Times New Roman"/>
          <w:sz w:val="24"/>
          <w:szCs w:val="24"/>
          <w:lang w:eastAsia="pt-BR"/>
        </w:rPr>
        <w:t>arquivo</w:t>
      </w:r>
      <w:proofErr w:type="gramEnd"/>
      <w:r w:rsidRPr="00487041">
        <w:rPr>
          <w:rFonts w:ascii="Times New Roman" w:hAnsi="Times New Roman"/>
          <w:sz w:val="24"/>
          <w:szCs w:val="24"/>
          <w:lang w:eastAsia="pt-BR"/>
        </w:rPr>
        <w:t xml:space="preserve"> eletrônico contendo tabela todos os dados brutos obtidos e toda a análise estatística de bioequivalência populacional aplicada nos resultados das amostras do medicamento teste e das do medicamento de referência/comparador.</w:t>
      </w:r>
    </w:p>
    <w:p w14:paraId="42BF77B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Parágrafo único. No caso do inciso VI deste artigo, em sendo utilizadas planilhas ou arquivos eletrônicos, devem ser enviadas cópias em CD-ROM ou outro dispositivo de armazenamento.</w:t>
      </w:r>
    </w:p>
    <w:p w14:paraId="465FE8B1"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lastRenderedPageBreak/>
        <w:t>Seção V</w:t>
      </w:r>
    </w:p>
    <w:p w14:paraId="686E9FE5"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Distribuição do Tamanho Aerodinâmico de Partículas por Impactação em Cascata</w:t>
      </w:r>
    </w:p>
    <w:p w14:paraId="76F90CF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36. O ensaio de distribuição do tamanho aerodinâmico de partículas por impactação em cascata para aerossol nasal, aerossol inalatório oral e pó inalatório oral deverá ser conduzido utilizando, no mínimo, trinta dispositivos de três lotes do medicamento teste, sendo dez dispositivos de cada lote, e trinta dispositivos de três lotes do medicamento de referência/comparador, sendo dez dispositivos de cada lote, ou trinta dispositivos de um lote desse medicamento.</w:t>
      </w:r>
    </w:p>
    <w:p w14:paraId="4B73A52B"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 1º No caso de pós inalatórios orais de doses </w:t>
      </w:r>
      <w:proofErr w:type="spellStart"/>
      <w:r w:rsidRPr="00487041">
        <w:rPr>
          <w:rFonts w:ascii="Times New Roman" w:hAnsi="Times New Roman"/>
          <w:sz w:val="24"/>
          <w:szCs w:val="24"/>
          <w:lang w:eastAsia="pt-BR"/>
        </w:rPr>
        <w:t>pré-medidas</w:t>
      </w:r>
      <w:proofErr w:type="spellEnd"/>
      <w:r w:rsidRPr="00487041">
        <w:rPr>
          <w:rFonts w:ascii="Times New Roman" w:hAnsi="Times New Roman"/>
          <w:sz w:val="24"/>
          <w:szCs w:val="24"/>
          <w:lang w:eastAsia="pt-BR"/>
        </w:rPr>
        <w:t xml:space="preserve"> unitárias, utilizar, no mínimo, trinta unidades de três lotes do medicamento teste, sendo dez unidades de cada lote; e trinta unidades de três lotes do medicamento de referência/comparador, sendo dez unidades de cada lote, ou trinta unidades de um lote desse medicamento.</w:t>
      </w:r>
    </w:p>
    <w:p w14:paraId="2E942E1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O número de amostras deve ser suficiente para se obter trinta resultados de cada parâmetro para cada um dos medicamentos em análise.</w:t>
      </w:r>
    </w:p>
    <w:p w14:paraId="05B86560"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37. Deverá ser utilizado um aparato para coleta das doses liberadas e um sistema de impactação em cascata além de acessórios, quando necessários, preconizados em compêndios oficiais, que sejam adequados à forma farmacêutica em estudo.</w:t>
      </w:r>
    </w:p>
    <w:p w14:paraId="0E15B885"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Parágrafo único. As devidas calibrações e verificações do aparato e do sistema deverão ser realizadas de acordo com o preconizado em compêndios oficiais.</w:t>
      </w:r>
    </w:p>
    <w:p w14:paraId="725472F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38. No caso de aerossol nasal, aerossol inalatório oral, pó inalatório oral, deve ser avaliado, separadamente para cada dispositivo testado, o conteúdo liberado por uma única atuação do início do conteúdo do dispositivo, imediatamente após sua preparação, quando couber.</w:t>
      </w:r>
    </w:p>
    <w:p w14:paraId="2CCB9E30"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39. Deve ser determinada a massa do ingrediente farmacêutico ativo depositada no adaptador do inalador, na porta de indução e no </w:t>
      </w:r>
      <w:proofErr w:type="spellStart"/>
      <w:r w:rsidRPr="00487041">
        <w:rPr>
          <w:rFonts w:ascii="Times New Roman" w:hAnsi="Times New Roman"/>
          <w:sz w:val="24"/>
          <w:szCs w:val="24"/>
          <w:lang w:eastAsia="pt-BR"/>
        </w:rPr>
        <w:t>pré</w:t>
      </w:r>
      <w:proofErr w:type="spellEnd"/>
      <w:r w:rsidRPr="00487041">
        <w:rPr>
          <w:rFonts w:ascii="Times New Roman" w:hAnsi="Times New Roman"/>
          <w:sz w:val="24"/>
          <w:szCs w:val="24"/>
          <w:lang w:eastAsia="pt-BR"/>
        </w:rPr>
        <w:t>-separador, no caso de pó inalatório oral, em cada um dos estágios do sistema de impactação em cascata e filtros.</w:t>
      </w:r>
    </w:p>
    <w:p w14:paraId="1A80684A"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Caso a sensibilidade do método não permita a quantificação do ingrediente farmacêutico ativo a partir de um único acionamento, ou seja, a avaliação de uma atuação não permita obter um único resultado podem ser utilizados mais acionamentos para obter o resultado, desde que apresentada justificativa.</w:t>
      </w:r>
    </w:p>
    <w:p w14:paraId="4B2D91FC"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O número de acionamentos utilizados na condução do ensaio deve ser registrado no Relatório do Estudo.</w:t>
      </w:r>
    </w:p>
    <w:p w14:paraId="2E4645B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40. Deverão ser calculados, a partir de software adequado, no mínimo, os parâmetros abaixo mencionados, de acordo com o preconizado em compêndios oficiais:</w:t>
      </w:r>
    </w:p>
    <w:p w14:paraId="58EE51A7"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massa</w:t>
      </w:r>
      <w:proofErr w:type="gramEnd"/>
      <w:r w:rsidRPr="00487041">
        <w:rPr>
          <w:rFonts w:ascii="Times New Roman" w:hAnsi="Times New Roman"/>
          <w:sz w:val="24"/>
          <w:szCs w:val="24"/>
          <w:lang w:eastAsia="pt-BR"/>
        </w:rPr>
        <w:t xml:space="preserve"> do ingrediente farmacêutico ativo em cada um dos estágios;</w:t>
      </w:r>
    </w:p>
    <w:p w14:paraId="49BF6662"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 xml:space="preserve">II - </w:t>
      </w:r>
      <w:proofErr w:type="gramStart"/>
      <w:r w:rsidRPr="00487041">
        <w:rPr>
          <w:rFonts w:ascii="Times New Roman" w:hAnsi="Times New Roman"/>
          <w:sz w:val="24"/>
          <w:szCs w:val="24"/>
          <w:lang w:eastAsia="pt-BR"/>
        </w:rPr>
        <w:t>massa</w:t>
      </w:r>
      <w:proofErr w:type="gramEnd"/>
      <w:r w:rsidRPr="00487041">
        <w:rPr>
          <w:rFonts w:ascii="Times New Roman" w:hAnsi="Times New Roman"/>
          <w:sz w:val="24"/>
          <w:szCs w:val="24"/>
          <w:lang w:eastAsia="pt-BR"/>
        </w:rPr>
        <w:t xml:space="preserve"> cumulativa do ingrediente farmacêutico ativo em cada um dos estágios;</w:t>
      </w:r>
    </w:p>
    <w:p w14:paraId="4EC79AF6"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massa de partículas finas;</w:t>
      </w:r>
    </w:p>
    <w:p w14:paraId="5A90B5A5"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IV - </w:t>
      </w:r>
      <w:proofErr w:type="gramStart"/>
      <w:r w:rsidRPr="00487041">
        <w:rPr>
          <w:rFonts w:ascii="Times New Roman" w:hAnsi="Times New Roman"/>
          <w:sz w:val="24"/>
          <w:szCs w:val="24"/>
          <w:lang w:eastAsia="pt-BR"/>
        </w:rPr>
        <w:t>diâmetro</w:t>
      </w:r>
      <w:proofErr w:type="gramEnd"/>
      <w:r w:rsidRPr="00487041">
        <w:rPr>
          <w:rFonts w:ascii="Times New Roman" w:hAnsi="Times New Roman"/>
          <w:sz w:val="24"/>
          <w:szCs w:val="24"/>
          <w:lang w:eastAsia="pt-BR"/>
        </w:rPr>
        <w:t xml:space="preserve"> aerodinâmico médio de massa; e</w:t>
      </w:r>
    </w:p>
    <w:p w14:paraId="7C95527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desvio</w:t>
      </w:r>
      <w:proofErr w:type="gramEnd"/>
      <w:r w:rsidRPr="00487041">
        <w:rPr>
          <w:rFonts w:ascii="Times New Roman" w:hAnsi="Times New Roman"/>
          <w:sz w:val="24"/>
          <w:szCs w:val="24"/>
          <w:lang w:eastAsia="pt-BR"/>
        </w:rPr>
        <w:t xml:space="preserve"> padrão geométrico.</w:t>
      </w:r>
    </w:p>
    <w:p w14:paraId="07893257"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41. A análise estatística de bioequivalência populacional deverá ser realizada separadamente nos trinta resultados de cada um dos parâmetros mencionados nos incisos III, IV e V do Art. 40.</w:t>
      </w:r>
    </w:p>
    <w:p w14:paraId="355CF35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42. </w:t>
      </w:r>
      <w:proofErr w:type="gramStart"/>
      <w:r w:rsidRPr="00487041">
        <w:rPr>
          <w:rFonts w:ascii="Times New Roman" w:hAnsi="Times New Roman"/>
          <w:sz w:val="24"/>
          <w:szCs w:val="24"/>
          <w:lang w:eastAsia="pt-BR"/>
        </w:rPr>
        <w:t>Os resultados do medicamento teste</w:t>
      </w:r>
      <w:proofErr w:type="gramEnd"/>
      <w:r w:rsidRPr="00487041">
        <w:rPr>
          <w:rFonts w:ascii="Times New Roman" w:hAnsi="Times New Roman"/>
          <w:sz w:val="24"/>
          <w:szCs w:val="24"/>
          <w:lang w:eastAsia="pt-BR"/>
        </w:rPr>
        <w:t xml:space="preserve"> devem ser semelhantes aos do medicamento de referência/comparador. Justificativas devem ser apresentadas para resultados discrepantes.</w:t>
      </w:r>
    </w:p>
    <w:p w14:paraId="49F14D17"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43. O Certificado de Equivalência Farmacêutica ou de Provas de Desempenho deve reportar os resultados da análise estatística de bioequivalência populacional, para cada parâmetro avaliado, tanto para o medicamento teste quanto para o medicamento comparador.</w:t>
      </w:r>
    </w:p>
    <w:p w14:paraId="4927536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44. Devem fazer parte do Protocolo e Relatório de estudo de equivalência farmacêutica ou de provas de desempenho os seguintes documentos e informações, relacionados ao ensaio em questão, a serem apresentados à Anvisa:</w:t>
      </w:r>
    </w:p>
    <w:p w14:paraId="04B88845"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versão</w:t>
      </w:r>
      <w:proofErr w:type="gramEnd"/>
      <w:r w:rsidRPr="00487041">
        <w:rPr>
          <w:rFonts w:ascii="Times New Roman" w:hAnsi="Times New Roman"/>
          <w:sz w:val="24"/>
          <w:szCs w:val="24"/>
          <w:lang w:eastAsia="pt-BR"/>
        </w:rPr>
        <w:t xml:space="preserve"> do software utilizado;</w:t>
      </w:r>
    </w:p>
    <w:p w14:paraId="3650625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completa do sistema de impactação em cascata e, quando presentes, dos acessórios;</w:t>
      </w:r>
    </w:p>
    <w:p w14:paraId="44DA2C1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descrição dos parâmetros, quando couber, e seus critérios de aceitação, que devem ser controlados no aparato de coleta de doses e, quando presentes, nos acessórios, para otimização do método, de acordo com o determinado por seus fabricantes;</w:t>
      </w:r>
    </w:p>
    <w:p w14:paraId="00DAC2A2"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IV - </w:t>
      </w:r>
      <w:proofErr w:type="gramStart"/>
      <w:r w:rsidRPr="00487041">
        <w:rPr>
          <w:rFonts w:ascii="Times New Roman" w:hAnsi="Times New Roman"/>
          <w:sz w:val="24"/>
          <w:szCs w:val="24"/>
          <w:lang w:eastAsia="pt-BR"/>
        </w:rPr>
        <w:t>parâmetros</w:t>
      </w:r>
      <w:proofErr w:type="gramEnd"/>
      <w:r w:rsidRPr="00487041">
        <w:rPr>
          <w:rFonts w:ascii="Times New Roman" w:hAnsi="Times New Roman"/>
          <w:sz w:val="24"/>
          <w:szCs w:val="24"/>
          <w:lang w:eastAsia="pt-BR"/>
        </w:rPr>
        <w:t xml:space="preserve"> que devem ser controlados no sistema de impactação em cascata, quando couberem, e, quando presentes, nos acessórios, para otimização do método, de acordo com o determinado por seus fabricantes;</w:t>
      </w:r>
    </w:p>
    <w:p w14:paraId="63696484"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registro</w:t>
      </w:r>
      <w:proofErr w:type="gramEnd"/>
      <w:r w:rsidRPr="00487041">
        <w:rPr>
          <w:rFonts w:ascii="Times New Roman" w:hAnsi="Times New Roman"/>
          <w:sz w:val="24"/>
          <w:szCs w:val="24"/>
          <w:lang w:eastAsia="pt-BR"/>
        </w:rPr>
        <w:t xml:space="preserve"> dos controles realizados no aparato de coleta de doses e no sistema de impactação em cascata, quando couberem, e, quando presentes, em seus acessórios, previamente e durante a condução do ensaio;</w:t>
      </w:r>
    </w:p>
    <w:p w14:paraId="5D42077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 - </w:t>
      </w:r>
      <w:proofErr w:type="gramStart"/>
      <w:r w:rsidRPr="00487041">
        <w:rPr>
          <w:rFonts w:ascii="Times New Roman" w:hAnsi="Times New Roman"/>
          <w:sz w:val="24"/>
          <w:szCs w:val="24"/>
          <w:lang w:eastAsia="pt-BR"/>
        </w:rPr>
        <w:t>detalhamento</w:t>
      </w:r>
      <w:proofErr w:type="gramEnd"/>
      <w:r w:rsidRPr="00487041">
        <w:rPr>
          <w:rFonts w:ascii="Times New Roman" w:hAnsi="Times New Roman"/>
          <w:sz w:val="24"/>
          <w:szCs w:val="24"/>
          <w:lang w:eastAsia="pt-BR"/>
        </w:rPr>
        <w:t xml:space="preserve"> do cálculo do teor do ingrediente farmacêutico ativo das amostras do medicamento teste e das do medicamento de referência/comparador;</w:t>
      </w:r>
    </w:p>
    <w:p w14:paraId="4925AB5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VII - cópia de folhas de cálculo, </w:t>
      </w:r>
      <w:proofErr w:type="spellStart"/>
      <w:r w:rsidRPr="00487041">
        <w:rPr>
          <w:rFonts w:ascii="Times New Roman" w:hAnsi="Times New Roman"/>
          <w:sz w:val="24"/>
          <w:szCs w:val="24"/>
          <w:lang w:eastAsia="pt-BR"/>
        </w:rPr>
        <w:t>cromatogramas</w:t>
      </w:r>
      <w:proofErr w:type="spellEnd"/>
      <w:r w:rsidRPr="00487041">
        <w:rPr>
          <w:rFonts w:ascii="Times New Roman" w:hAnsi="Times New Roman"/>
          <w:sz w:val="24"/>
          <w:szCs w:val="24"/>
          <w:lang w:eastAsia="pt-BR"/>
        </w:rPr>
        <w:t>, espectrogramas ou outros registros analíticos e gráficos derivados das análises das amostras do medicamento teste e das do medicamento de referência/comparador;</w:t>
      </w:r>
    </w:p>
    <w:p w14:paraId="452BD2A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VIII - cópia dos relatórios emitidos pelo software do sistema de impactação em cascata, contendo todos os resultados e gráficos das análises das amostras do medicamento teste e das do medicamento de referência/comparador; e</w:t>
      </w:r>
    </w:p>
    <w:p w14:paraId="3D3DD9B1"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IX - </w:t>
      </w:r>
      <w:proofErr w:type="gramStart"/>
      <w:r w:rsidRPr="00487041">
        <w:rPr>
          <w:rFonts w:ascii="Times New Roman" w:hAnsi="Times New Roman"/>
          <w:sz w:val="24"/>
          <w:szCs w:val="24"/>
          <w:lang w:eastAsia="pt-BR"/>
        </w:rPr>
        <w:t>arquivo</w:t>
      </w:r>
      <w:proofErr w:type="gramEnd"/>
      <w:r w:rsidRPr="00487041">
        <w:rPr>
          <w:rFonts w:ascii="Times New Roman" w:hAnsi="Times New Roman"/>
          <w:sz w:val="24"/>
          <w:szCs w:val="24"/>
          <w:lang w:eastAsia="pt-BR"/>
        </w:rPr>
        <w:t xml:space="preserve"> eletrônico contendo tabela com todos os dados brutos obtidos e toda a análise estatística de bioequivalência populacional aplicada nos resultados das amostras do medicamento teste e das do medicamento de referência/comparador.</w:t>
      </w:r>
    </w:p>
    <w:p w14:paraId="08D5208A"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Parágrafo único. No caso do inciso IX deste artigo, em sendo utilizadas planilhas ou arquivos eletrônicos, devem ser enviadas cópias em CD-ROM ou outro dispositivo de armazenamento</w:t>
      </w:r>
      <w:r w:rsidRPr="00487041">
        <w:rPr>
          <w:rFonts w:ascii="Times New Roman" w:hAnsi="Times New Roman"/>
          <w:b/>
          <w:bCs/>
          <w:sz w:val="24"/>
          <w:szCs w:val="24"/>
          <w:lang w:eastAsia="pt-BR"/>
        </w:rPr>
        <w:t>.</w:t>
      </w:r>
    </w:p>
    <w:p w14:paraId="734DFB50"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VI</w:t>
      </w:r>
    </w:p>
    <w:p w14:paraId="11AF1A36"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Distribuição do Tamanho de Gotículas/Partículas por Difração a Laser</w:t>
      </w:r>
    </w:p>
    <w:p w14:paraId="058D3DB2"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45. O ensaio de distribuição do tamanho de gotículas/partículas por difração a laser com spray nasal deverá ser conduzido utilizando, no mínimo:</w:t>
      </w:r>
    </w:p>
    <w:p w14:paraId="1684925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para</w:t>
      </w:r>
      <w:proofErr w:type="gramEnd"/>
      <w:r w:rsidRPr="00487041">
        <w:rPr>
          <w:rFonts w:ascii="Times New Roman" w:hAnsi="Times New Roman"/>
          <w:sz w:val="24"/>
          <w:szCs w:val="24"/>
          <w:lang w:eastAsia="pt-BR"/>
        </w:rPr>
        <w:t xml:space="preserve"> spray nasal: trinta dispositivos de três lotes do medicamento teste, sendo dez dispositivos de cada lote; e trinta dispositivos de três lotes do medicamento de referência/comparador, sendo dez dispositivos de cada lote, ou trinta dispositivos de um lote desse medicamento; e</w:t>
      </w:r>
    </w:p>
    <w:p w14:paraId="76EF8BD7"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para</w:t>
      </w:r>
      <w:proofErr w:type="gramEnd"/>
      <w:r w:rsidRPr="00487041">
        <w:rPr>
          <w:rFonts w:ascii="Times New Roman" w:hAnsi="Times New Roman"/>
          <w:sz w:val="24"/>
          <w:szCs w:val="24"/>
          <w:lang w:eastAsia="pt-BR"/>
        </w:rPr>
        <w:t xml:space="preserve"> medicamentos para nebulização: trinta unidades de três lotes do medicamento teste, sendo dez unidades de cada lote; e trinta unidades de três lotes do medicamento de referência/comparador, sendo dez unidades de cada lote, ou trinta unidades de um lote desse medicamento.</w:t>
      </w:r>
    </w:p>
    <w:p w14:paraId="5ED4AEB1"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 1º Para solução </w:t>
      </w:r>
      <w:proofErr w:type="gramStart"/>
      <w:r w:rsidRPr="00487041">
        <w:rPr>
          <w:rFonts w:ascii="Times New Roman" w:hAnsi="Times New Roman"/>
          <w:sz w:val="24"/>
          <w:szCs w:val="24"/>
          <w:lang w:eastAsia="pt-BR"/>
        </w:rPr>
        <w:t>spray nasal podem</w:t>
      </w:r>
      <w:proofErr w:type="gramEnd"/>
      <w:r w:rsidRPr="00487041">
        <w:rPr>
          <w:rFonts w:ascii="Times New Roman" w:hAnsi="Times New Roman"/>
          <w:sz w:val="24"/>
          <w:szCs w:val="24"/>
          <w:lang w:eastAsia="pt-BR"/>
        </w:rPr>
        <w:t xml:space="preserve"> ser utilizados, no mínimo, trinta dispositivos de um lote tanto do medicamento teste quanto do de referência/comparador.</w:t>
      </w:r>
    </w:p>
    <w:p w14:paraId="203E923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O número de amostras deve ser suficiente para se obter trinta resultados de cada parâmetro para cada um dos medicamentos em análise.</w:t>
      </w:r>
    </w:p>
    <w:p w14:paraId="1B7D3B7A"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46. Deverá ser utilizado um sistema de difração a laser e, quando necessários, acessórios, preconizados em compêndios oficiais, notas técnicas, normas ou regulamentos específicos aprovados ou referendados pela Anvisa, que sejam adequados à forma farmacêutica em estudo.</w:t>
      </w:r>
    </w:p>
    <w:p w14:paraId="2E5F80D4"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47. Para sprays nasais, deverá ser avaliado para cada dispositivo testado:</w:t>
      </w:r>
    </w:p>
    <w:p w14:paraId="20DDFFC3"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 - o conteúdo liberado, por uma única atuação do início do conteúdo do dispositivo, imediatamente após a sua preparação; em duas distâncias dentro da faixa de 2 a 7 cm, entre o orifício do atuador e o feixe de laser, em que as duas distâncias estejam separadas ente si por 3 cm ou mais; e na fase de desenvolvimento completo da pluma; e</w:t>
      </w:r>
    </w:p>
    <w:p w14:paraId="7FA99EE6"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O conteúdo liberado, por uma única atuação do final do conteúdo do dispositivo; em duas distâncias dentro da faixa de 2 a 7 cm, entre o orifício do atuador e </w:t>
      </w:r>
      <w:r w:rsidRPr="00487041">
        <w:rPr>
          <w:rFonts w:ascii="Times New Roman" w:hAnsi="Times New Roman"/>
          <w:sz w:val="24"/>
          <w:szCs w:val="24"/>
          <w:lang w:eastAsia="pt-BR"/>
        </w:rPr>
        <w:lastRenderedPageBreak/>
        <w:t>o feixe de laser, em que as duas distâncias estejam separadas ente si por 3 cm ou mais; e na fase de desenvolvimento completo da pluma.</w:t>
      </w:r>
    </w:p>
    <w:p w14:paraId="2941CD3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48. Para medicamentos para nebulização, deverá ser avaliado para cada unidade testada: I - o conteúdo liberado em um fluxo de 5,5 L/min, no início da nebulização; II - o conteúdo liberado em um fluxo de 5,5 L/min, ao final da nebulização.</w:t>
      </w:r>
    </w:p>
    <w:p w14:paraId="5C69E9E1"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49. No caso de sprays nasais, deve ser determinada a distribuição do tamanho de gotículas (D10, D50, D90), </w:t>
      </w:r>
      <w:proofErr w:type="spellStart"/>
      <w:r w:rsidRPr="00487041">
        <w:rPr>
          <w:rFonts w:ascii="Times New Roman" w:hAnsi="Times New Roman"/>
          <w:sz w:val="24"/>
          <w:szCs w:val="24"/>
          <w:lang w:eastAsia="pt-BR"/>
        </w:rPr>
        <w:t>Span</w:t>
      </w:r>
      <w:proofErr w:type="spellEnd"/>
      <w:r w:rsidRPr="00487041">
        <w:rPr>
          <w:rFonts w:ascii="Times New Roman" w:hAnsi="Times New Roman"/>
          <w:sz w:val="24"/>
          <w:szCs w:val="24"/>
          <w:lang w:eastAsia="pt-BR"/>
        </w:rPr>
        <w:t xml:space="preserve"> ((D90 - D</w:t>
      </w:r>
      <w:proofErr w:type="gramStart"/>
      <w:r w:rsidRPr="00487041">
        <w:rPr>
          <w:rFonts w:ascii="Times New Roman" w:hAnsi="Times New Roman"/>
          <w:sz w:val="24"/>
          <w:szCs w:val="24"/>
          <w:lang w:eastAsia="pt-BR"/>
        </w:rPr>
        <w:t>10)/</w:t>
      </w:r>
      <w:proofErr w:type="gramEnd"/>
      <w:r w:rsidRPr="00487041">
        <w:rPr>
          <w:rFonts w:ascii="Times New Roman" w:hAnsi="Times New Roman"/>
          <w:sz w:val="24"/>
          <w:szCs w:val="24"/>
          <w:lang w:eastAsia="pt-BR"/>
        </w:rPr>
        <w:t>D50) e a porcentagem de gotículas abaixo de 10µm, em cada etapa do conteúdo das unidades testadas e nas duas distâncias avaliadas, quando aplicável, utilizando um software adequado.</w:t>
      </w:r>
    </w:p>
    <w:p w14:paraId="663E3A1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50. A análise estatística de bioequivalência populacional deverá ser realizada nos resultados de D50 obtidos dos seguintes grupos, separadamente:</w:t>
      </w:r>
    </w:p>
    <w:p w14:paraId="7C47B75B"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 - 1ª distância; início do conteúdo dos dispositivos (trinta resultados);</w:t>
      </w:r>
    </w:p>
    <w:p w14:paraId="66521BF0"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 - 1ª distância; final do conteúdo dos dispositivos (trinta resultados);</w:t>
      </w:r>
    </w:p>
    <w:p w14:paraId="7706A605"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- 2ª distância; início do conteúdo dos dispositivos (trinta resultados); e</w:t>
      </w:r>
    </w:p>
    <w:p w14:paraId="551BF3D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IV - 2ª distância; final do conteúdo dos dispositivos (trinta resultados).</w:t>
      </w:r>
    </w:p>
    <w:p w14:paraId="2C6774C6"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51. A análise estatística de bioequivalência populacional deverá ser realizada, segundo disposto nesta Instrução Normativa, nos resultados de </w:t>
      </w:r>
      <w:proofErr w:type="spellStart"/>
      <w:r w:rsidRPr="00487041">
        <w:rPr>
          <w:rFonts w:ascii="Times New Roman" w:hAnsi="Times New Roman"/>
          <w:sz w:val="24"/>
          <w:szCs w:val="24"/>
          <w:lang w:eastAsia="pt-BR"/>
        </w:rPr>
        <w:t>Span</w:t>
      </w:r>
      <w:proofErr w:type="spellEnd"/>
      <w:r w:rsidRPr="00487041">
        <w:rPr>
          <w:rFonts w:ascii="Times New Roman" w:hAnsi="Times New Roman"/>
          <w:sz w:val="24"/>
          <w:szCs w:val="24"/>
          <w:lang w:eastAsia="pt-BR"/>
        </w:rPr>
        <w:t xml:space="preserve"> obtidos dos seguintes grupos, separadamente:</w:t>
      </w:r>
    </w:p>
    <w:p w14:paraId="17F7A3B4"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 - 1ª distância; início do conteúdo dos dispositivos (trinta resultados);</w:t>
      </w:r>
    </w:p>
    <w:p w14:paraId="124FE6B7"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 - 1ª distância; final do conteúdo dos dispositivos (trinta resultados);</w:t>
      </w:r>
    </w:p>
    <w:p w14:paraId="1E52C869"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- 2ª distância; início do conteúdo dos dispositivos (trinta resultados); e</w:t>
      </w:r>
    </w:p>
    <w:p w14:paraId="68DF1406"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IV - 2ª distância; final do conteúdo dos dispositivos (trinta resultados).</w:t>
      </w:r>
    </w:p>
    <w:p w14:paraId="511006A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52. No caso de medicamentos para nebulização, determinar a distribuição do tamanho de gotículas (D10, D50, D90), </w:t>
      </w:r>
      <w:proofErr w:type="spellStart"/>
      <w:r w:rsidRPr="00487041">
        <w:rPr>
          <w:rFonts w:ascii="Times New Roman" w:hAnsi="Times New Roman"/>
          <w:sz w:val="24"/>
          <w:szCs w:val="24"/>
          <w:lang w:eastAsia="pt-BR"/>
        </w:rPr>
        <w:t>Span</w:t>
      </w:r>
      <w:proofErr w:type="spellEnd"/>
      <w:r w:rsidRPr="00487041">
        <w:rPr>
          <w:rFonts w:ascii="Times New Roman" w:hAnsi="Times New Roman"/>
          <w:sz w:val="24"/>
          <w:szCs w:val="24"/>
          <w:lang w:eastAsia="pt-BR"/>
        </w:rPr>
        <w:t xml:space="preserve"> ((D90 - D</w:t>
      </w:r>
      <w:proofErr w:type="gramStart"/>
      <w:r w:rsidRPr="00487041">
        <w:rPr>
          <w:rFonts w:ascii="Times New Roman" w:hAnsi="Times New Roman"/>
          <w:sz w:val="24"/>
          <w:szCs w:val="24"/>
          <w:lang w:eastAsia="pt-BR"/>
        </w:rPr>
        <w:t>10)/</w:t>
      </w:r>
      <w:proofErr w:type="gramEnd"/>
      <w:r w:rsidRPr="00487041">
        <w:rPr>
          <w:rFonts w:ascii="Times New Roman" w:hAnsi="Times New Roman"/>
          <w:sz w:val="24"/>
          <w:szCs w:val="24"/>
          <w:lang w:eastAsia="pt-BR"/>
        </w:rPr>
        <w:t>D50) e a porcentagem de gotículas abaixo de 10µm, em cada etapa do conteúdo das unidades testadas, utilizando um software adequado.</w:t>
      </w:r>
    </w:p>
    <w:p w14:paraId="6EDBA0F6"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53. A análise estatística de bioequivalência populacional deverá ser realizada, segundo disposto nesta Instrução Normativa, nos resultados de D50 obtidos dos seguintes grupos, separadamente:</w:t>
      </w:r>
    </w:p>
    <w:p w14:paraId="7ABADFF8"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início</w:t>
      </w:r>
      <w:proofErr w:type="gramEnd"/>
      <w:r w:rsidRPr="00487041">
        <w:rPr>
          <w:rFonts w:ascii="Times New Roman" w:hAnsi="Times New Roman"/>
          <w:sz w:val="24"/>
          <w:szCs w:val="24"/>
          <w:lang w:eastAsia="pt-BR"/>
        </w:rPr>
        <w:t xml:space="preserve"> do conteúdo dos dispositivos (trinta resultados); e</w:t>
      </w:r>
    </w:p>
    <w:p w14:paraId="6E2F2ECB"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final</w:t>
      </w:r>
      <w:proofErr w:type="gramEnd"/>
      <w:r w:rsidRPr="00487041">
        <w:rPr>
          <w:rFonts w:ascii="Times New Roman" w:hAnsi="Times New Roman"/>
          <w:sz w:val="24"/>
          <w:szCs w:val="24"/>
          <w:lang w:eastAsia="pt-BR"/>
        </w:rPr>
        <w:t xml:space="preserve"> do conteúdo dos dispositivos (trinta resultados).</w:t>
      </w:r>
    </w:p>
    <w:p w14:paraId="23230BC6"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 xml:space="preserve">Art. 54. A análise estatística de bioequivalência populacional deverá ser realizada, segundo disposto nesta Instrução Normativa, nos resultados de </w:t>
      </w:r>
      <w:proofErr w:type="spellStart"/>
      <w:r w:rsidRPr="00487041">
        <w:rPr>
          <w:rFonts w:ascii="Times New Roman" w:hAnsi="Times New Roman"/>
          <w:sz w:val="24"/>
          <w:szCs w:val="24"/>
          <w:lang w:eastAsia="pt-BR"/>
        </w:rPr>
        <w:t>Span</w:t>
      </w:r>
      <w:proofErr w:type="spellEnd"/>
      <w:r w:rsidRPr="00487041">
        <w:rPr>
          <w:rFonts w:ascii="Times New Roman" w:hAnsi="Times New Roman"/>
          <w:sz w:val="24"/>
          <w:szCs w:val="24"/>
          <w:lang w:eastAsia="pt-BR"/>
        </w:rPr>
        <w:t xml:space="preserve"> obtidos dos seguintes grupos, separadamente:</w:t>
      </w:r>
    </w:p>
    <w:p w14:paraId="12875F4F"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início</w:t>
      </w:r>
      <w:proofErr w:type="gramEnd"/>
      <w:r w:rsidRPr="00487041">
        <w:rPr>
          <w:rFonts w:ascii="Times New Roman" w:hAnsi="Times New Roman"/>
          <w:sz w:val="24"/>
          <w:szCs w:val="24"/>
          <w:lang w:eastAsia="pt-BR"/>
        </w:rPr>
        <w:t xml:space="preserve"> do conteúdo das unidades (trinta resultados); e</w:t>
      </w:r>
    </w:p>
    <w:p w14:paraId="6E600BE6"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final</w:t>
      </w:r>
      <w:proofErr w:type="gramEnd"/>
      <w:r w:rsidRPr="00487041">
        <w:rPr>
          <w:rFonts w:ascii="Times New Roman" w:hAnsi="Times New Roman"/>
          <w:sz w:val="24"/>
          <w:szCs w:val="24"/>
          <w:lang w:eastAsia="pt-BR"/>
        </w:rPr>
        <w:t xml:space="preserve"> do conteúdo das unidades (trinta resultados).</w:t>
      </w:r>
    </w:p>
    <w:p w14:paraId="75B56B37"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55. </w:t>
      </w:r>
      <w:proofErr w:type="gramStart"/>
      <w:r w:rsidRPr="00487041">
        <w:rPr>
          <w:rFonts w:ascii="Times New Roman" w:hAnsi="Times New Roman"/>
          <w:sz w:val="24"/>
          <w:szCs w:val="24"/>
          <w:lang w:eastAsia="pt-BR"/>
        </w:rPr>
        <w:t>Os resultados do medicamento teste</w:t>
      </w:r>
      <w:proofErr w:type="gramEnd"/>
      <w:r w:rsidRPr="00487041">
        <w:rPr>
          <w:rFonts w:ascii="Times New Roman" w:hAnsi="Times New Roman"/>
          <w:sz w:val="24"/>
          <w:szCs w:val="24"/>
          <w:lang w:eastAsia="pt-BR"/>
        </w:rPr>
        <w:t xml:space="preserve"> devem ser semelhantes aos do medicamento de referência/comparador.</w:t>
      </w:r>
    </w:p>
    <w:p w14:paraId="4BDF162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56. O Certificado de Equivalência Farmacêutica ou de Provas de Desempenho deve reportar os resultados da análise estatística de bioequivalência populacional, para cada parâmetro avaliado, tanto para os medicamentos teste quanto para os medicamentos de referência/comparador.</w:t>
      </w:r>
    </w:p>
    <w:p w14:paraId="486131FA"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57. Devem fazer parte do Protocolo e Relatório de estudo de equivalência farmacêutica ou de provas de desempenho os seguintes documentos e informações, relacionados ao ensaio em questão, a serem apresentados à Anvisa:</w:t>
      </w:r>
    </w:p>
    <w:p w14:paraId="53C727E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versão</w:t>
      </w:r>
      <w:proofErr w:type="gramEnd"/>
      <w:r w:rsidRPr="00487041">
        <w:rPr>
          <w:rFonts w:ascii="Times New Roman" w:hAnsi="Times New Roman"/>
          <w:sz w:val="24"/>
          <w:szCs w:val="24"/>
          <w:lang w:eastAsia="pt-BR"/>
        </w:rPr>
        <w:t xml:space="preserve"> do software utilizado;</w:t>
      </w:r>
    </w:p>
    <w:p w14:paraId="1A537C5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completa do sistema de difração a laser e, quando presentes, dos acessórios;</w:t>
      </w:r>
    </w:p>
    <w:p w14:paraId="0FD64697"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parâmetros que devem ser controlados no sistema de difração a laser e, quando presentes, nos acessórios, para otimização do método, de acordo com o determinado por seus fabricantes; </w:t>
      </w:r>
    </w:p>
    <w:p w14:paraId="2A5EC3AE"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critérios</w:t>
      </w:r>
      <w:proofErr w:type="gramEnd"/>
      <w:r w:rsidRPr="00487041">
        <w:rPr>
          <w:rFonts w:ascii="Times New Roman" w:hAnsi="Times New Roman"/>
          <w:sz w:val="24"/>
          <w:szCs w:val="24"/>
          <w:lang w:eastAsia="pt-BR"/>
        </w:rPr>
        <w:t xml:space="preserve"> adotados, e seus registros e evidências, para o estabelecimento da região do platô no perfil de distribuição do tamanho de partículas/gotículas, ou do momento (tempo) dessa região, em que os dados do ensaio serão coletados;</w:t>
      </w:r>
    </w:p>
    <w:p w14:paraId="1085C63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critérios</w:t>
      </w:r>
      <w:proofErr w:type="gramEnd"/>
      <w:r w:rsidRPr="00487041">
        <w:rPr>
          <w:rFonts w:ascii="Times New Roman" w:hAnsi="Times New Roman"/>
          <w:sz w:val="24"/>
          <w:szCs w:val="24"/>
          <w:lang w:eastAsia="pt-BR"/>
        </w:rPr>
        <w:t xml:space="preserve"> adotados, e seus registros e evidências, para o estabelecimento das duas distâncias entre o orifício do atuador e o feixe do laser;</w:t>
      </w:r>
    </w:p>
    <w:p w14:paraId="771254A4"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 - </w:t>
      </w:r>
      <w:proofErr w:type="gramStart"/>
      <w:r w:rsidRPr="00487041">
        <w:rPr>
          <w:rFonts w:ascii="Times New Roman" w:hAnsi="Times New Roman"/>
          <w:sz w:val="24"/>
          <w:szCs w:val="24"/>
          <w:lang w:eastAsia="pt-BR"/>
        </w:rPr>
        <w:t>registro</w:t>
      </w:r>
      <w:proofErr w:type="gramEnd"/>
      <w:r w:rsidRPr="00487041">
        <w:rPr>
          <w:rFonts w:ascii="Times New Roman" w:hAnsi="Times New Roman"/>
          <w:sz w:val="24"/>
          <w:szCs w:val="24"/>
          <w:lang w:eastAsia="pt-BR"/>
        </w:rPr>
        <w:t xml:space="preserve"> das distâncias adotadas durante a condução do ensaio;</w:t>
      </w:r>
    </w:p>
    <w:p w14:paraId="154612EA"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VII - registro dos controles realizados no sistema de difração a laser e, quando presentes, nos acessórios, previamente e durante a condução do ensaio;</w:t>
      </w:r>
    </w:p>
    <w:p w14:paraId="3C504DE2"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VIII - cópia dos relatórios emitidos pelo software do sistema de difração a laser, contendo todos os resultados das análises das amostras do medicamento teste e das do medicamento de referência/comparador, incluindo, gráficos de </w:t>
      </w:r>
      <w:proofErr w:type="spellStart"/>
      <w:r w:rsidRPr="00487041">
        <w:rPr>
          <w:rFonts w:ascii="Times New Roman" w:hAnsi="Times New Roman"/>
          <w:sz w:val="24"/>
          <w:szCs w:val="24"/>
          <w:lang w:eastAsia="pt-BR"/>
        </w:rPr>
        <w:t>obscuração</w:t>
      </w:r>
      <w:proofErr w:type="spellEnd"/>
      <w:r w:rsidRPr="00487041">
        <w:rPr>
          <w:rFonts w:ascii="Times New Roman" w:hAnsi="Times New Roman"/>
          <w:sz w:val="24"/>
          <w:szCs w:val="24"/>
          <w:lang w:eastAsia="pt-BR"/>
        </w:rPr>
        <w:t xml:space="preserve"> ou percentual de transmissão versus tempo de desenvolvimento da pluma (perfil de distribuição do tamanho de gotículas); e</w:t>
      </w:r>
    </w:p>
    <w:p w14:paraId="6FC8BDC0"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IX - </w:t>
      </w:r>
      <w:proofErr w:type="gramStart"/>
      <w:r w:rsidRPr="00487041">
        <w:rPr>
          <w:rFonts w:ascii="Times New Roman" w:hAnsi="Times New Roman"/>
          <w:sz w:val="24"/>
          <w:szCs w:val="24"/>
          <w:lang w:eastAsia="pt-BR"/>
        </w:rPr>
        <w:t>arquivo</w:t>
      </w:r>
      <w:proofErr w:type="gramEnd"/>
      <w:r w:rsidRPr="00487041">
        <w:rPr>
          <w:rFonts w:ascii="Times New Roman" w:hAnsi="Times New Roman"/>
          <w:sz w:val="24"/>
          <w:szCs w:val="24"/>
          <w:lang w:eastAsia="pt-BR"/>
        </w:rPr>
        <w:t xml:space="preserve"> eletrônico contendo tabela com todos os dados brutos obtidos e toda a análise estatística de bioequivalência populacional aplicada nos resultados das amostras do medicamento teste e das do medicamento de referência/comparador.</w:t>
      </w:r>
    </w:p>
    <w:p w14:paraId="0324691D"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lastRenderedPageBreak/>
        <w:t>Seção VII</w:t>
      </w:r>
    </w:p>
    <w:p w14:paraId="26E1227A"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Número de Acionamentos por Dispositivo</w:t>
      </w:r>
    </w:p>
    <w:p w14:paraId="25F46ADB"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58. O ensaio de número de acionamentos por dispositivo deverá ser conduzido utilizando, no mínimo, três dispositivos do medicamento teste e, no mínimo, três dispositivos do medicamento de referência/comparador.</w:t>
      </w:r>
    </w:p>
    <w:p w14:paraId="2CB41772"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59. O ensaio consiste em contar o número de acionamentos de cada uma das unidades testadas até sua exaustão.</w:t>
      </w:r>
    </w:p>
    <w:p w14:paraId="13F4399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Na contagem do número de acionamentos, os correspondestes à carga dos dispositivos devem ser desconsideradas.</w:t>
      </w:r>
    </w:p>
    <w:p w14:paraId="1B534DF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O patrocinador do estudo deve fornecer, ao centro responsável pelo estudo, o número rotulado de acionamentos do medicamento teste.</w:t>
      </w:r>
    </w:p>
    <w:p w14:paraId="65E4032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60. A determinação do número de acionamentos por dispositivo é um ensaio informativo.</w:t>
      </w:r>
    </w:p>
    <w:p w14:paraId="775AE9DA"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61. O Certificado de Equivalência Farmacêutica ou de Provas de Desempenho deve reportar o número de atuações contada, tanto para o medicamento teste como para o medicamento referência/comparador.</w:t>
      </w:r>
    </w:p>
    <w:p w14:paraId="75CA50D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62. Devem fazer parte do Protocolo e Relatório as cópias das folhas ou fichas de análise do presente ensaio, para as amostras do medicamento teste e para as do medicamento de referência/comparador.</w:t>
      </w:r>
    </w:p>
    <w:p w14:paraId="6D8C6A06"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Seção VIII</w:t>
      </w:r>
    </w:p>
    <w:p w14:paraId="3ECC5640"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Padrão de Spray</w:t>
      </w:r>
    </w:p>
    <w:p w14:paraId="4015A8A5"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63. O ensaio de padrão de spray deverá ser conduzido utilizando, no mínimo, trinta dispositivos de três lotes do medicamento teste, sendo dez dispositivos de cada lote; e trinta dispositivos de três lotes do medicamento de referência/comparador, sendo dez dispositivos de cada lote, ou trinta dispositivos de um lote desse medicamento.</w:t>
      </w:r>
    </w:p>
    <w:p w14:paraId="19F3A227"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Para spray nasal em solução aquosa podem ser utilizados, no mínimo, trinta dispositivos de um lote tanto do medicamento teste quanto do de referência/comparador.</w:t>
      </w:r>
    </w:p>
    <w:p w14:paraId="32A06E56"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O número de amostras deve ser suficiente para se obter trinta resultados de cada parâmetro para cada um dos medicamentos em análise.</w:t>
      </w:r>
    </w:p>
    <w:p w14:paraId="4FB5AD9C"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64. O ensaio deverá ser conduzido utilizando um dos seguintes mecanismos:</w:t>
      </w:r>
    </w:p>
    <w:p w14:paraId="07D227BF"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não</w:t>
      </w:r>
      <w:proofErr w:type="gramEnd"/>
      <w:r w:rsidRPr="00487041">
        <w:rPr>
          <w:rFonts w:ascii="Times New Roman" w:hAnsi="Times New Roman"/>
          <w:sz w:val="24"/>
          <w:szCs w:val="24"/>
          <w:lang w:eastAsia="pt-BR"/>
        </w:rPr>
        <w:t xml:space="preserve"> impacto, por meio de um sistema de feixe de luz laser acoplado a câmera de alta velocidade, ou outro método que permita a visualização do padrão da pluma perpendicularmente ao eixo do dispositivo; ou</w:t>
      </w:r>
    </w:p>
    <w:p w14:paraId="244B775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 xml:space="preserve">II - </w:t>
      </w:r>
      <w:proofErr w:type="gramStart"/>
      <w:r w:rsidRPr="00487041">
        <w:rPr>
          <w:rFonts w:ascii="Times New Roman" w:hAnsi="Times New Roman"/>
          <w:sz w:val="24"/>
          <w:szCs w:val="24"/>
          <w:lang w:eastAsia="pt-BR"/>
        </w:rPr>
        <w:t>impacto</w:t>
      </w:r>
      <w:proofErr w:type="gramEnd"/>
      <w:r w:rsidRPr="00487041">
        <w:rPr>
          <w:rFonts w:ascii="Times New Roman" w:hAnsi="Times New Roman"/>
          <w:sz w:val="24"/>
          <w:szCs w:val="24"/>
          <w:lang w:eastAsia="pt-BR"/>
        </w:rPr>
        <w:t xml:space="preserve"> em um alvo apropriado, como uma placa de cromatografia em camada delgada (CCD), cuja técnica de revelação seja específica ou, desde que comprovado, não específica para o ingrediente farmacêutico ativo em estudo e mantenha os detalhes da intensidade da imagem do padrão obtido da pluma.</w:t>
      </w:r>
    </w:p>
    <w:p w14:paraId="7E2E443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65. Para cada dispositivo testado, deve ser avaliada uma única atuação do início do conteúdo do dispositivo, imediatamente após sua preparação, em duas distâncias dentro da faixa de 3 a 7 cm entre o orifício do atuador e o feixe de laser, em que as duas distâncias estejam separadas ente si por 3 cm ou mais.</w:t>
      </w:r>
    </w:p>
    <w:p w14:paraId="4FFB8BE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1º Caso a sensibilidade do método não permita a quantificação do ingrediente farmacêutico ativo a partir de um único acionamento, ou seja, a avaliação de uma atuação não permita obter um único resultado podem ser utilizados mais acionamentos para obter o resultado, desde que apresentada justificativa.</w:t>
      </w:r>
    </w:p>
    <w:p w14:paraId="0033176E"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2º O número de acionamentos utilizados na condução do ensaio deve ser registrado no Relatório do Estudo.</w:t>
      </w:r>
    </w:p>
    <w:p w14:paraId="431689C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66. O ensaio deverá utilizar um dos seguintes tipos de análise de imagens:</w:t>
      </w:r>
    </w:p>
    <w:p w14:paraId="52AFDD86"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manual</w:t>
      </w:r>
      <w:proofErr w:type="gramEnd"/>
      <w:r w:rsidRPr="00487041">
        <w:rPr>
          <w:rFonts w:ascii="Times New Roman" w:hAnsi="Times New Roman"/>
          <w:sz w:val="24"/>
          <w:szCs w:val="24"/>
          <w:lang w:eastAsia="pt-BR"/>
        </w:rPr>
        <w:t>, determinando o centro de massa (COM), diâmetro maior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 diâmetro menor (</w:t>
      </w:r>
      <w:proofErr w:type="spellStart"/>
      <w:r w:rsidRPr="00487041">
        <w:rPr>
          <w:rFonts w:ascii="Times New Roman" w:hAnsi="Times New Roman"/>
          <w:sz w:val="24"/>
          <w:szCs w:val="24"/>
          <w:lang w:eastAsia="pt-BR"/>
        </w:rPr>
        <w:t>Dmín</w:t>
      </w:r>
      <w:proofErr w:type="spellEnd"/>
      <w:r w:rsidRPr="00487041">
        <w:rPr>
          <w:rFonts w:ascii="Times New Roman" w:hAnsi="Times New Roman"/>
          <w:sz w:val="24"/>
          <w:szCs w:val="24"/>
          <w:lang w:eastAsia="pt-BR"/>
        </w:rPr>
        <w:t xml:space="preserve">) e razão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w:t>
      </w:r>
      <w:proofErr w:type="spellStart"/>
      <w:r w:rsidRPr="00487041">
        <w:rPr>
          <w:rFonts w:ascii="Times New Roman" w:hAnsi="Times New Roman"/>
          <w:sz w:val="24"/>
          <w:szCs w:val="24"/>
          <w:lang w:eastAsia="pt-BR"/>
        </w:rPr>
        <w:t>Dmín</w:t>
      </w:r>
      <w:proofErr w:type="spellEnd"/>
      <w:r w:rsidRPr="00487041">
        <w:rPr>
          <w:rFonts w:ascii="Times New Roman" w:hAnsi="Times New Roman"/>
          <w:sz w:val="24"/>
          <w:szCs w:val="24"/>
          <w:lang w:eastAsia="pt-BR"/>
        </w:rPr>
        <w:t>; e</w:t>
      </w:r>
    </w:p>
    <w:p w14:paraId="3FD2442F"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automática</w:t>
      </w:r>
      <w:proofErr w:type="gramEnd"/>
      <w:r w:rsidRPr="00487041">
        <w:rPr>
          <w:rFonts w:ascii="Times New Roman" w:hAnsi="Times New Roman"/>
          <w:sz w:val="24"/>
          <w:szCs w:val="24"/>
          <w:lang w:eastAsia="pt-BR"/>
        </w:rPr>
        <w:t xml:space="preserve">, determinando o perímetro da forma do padrão de spray; área dentro desse perímetro; centro de gravidade (COG);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 xml:space="preserve">, </w:t>
      </w:r>
      <w:proofErr w:type="spellStart"/>
      <w:r w:rsidRPr="00487041">
        <w:rPr>
          <w:rFonts w:ascii="Times New Roman" w:hAnsi="Times New Roman"/>
          <w:sz w:val="24"/>
          <w:szCs w:val="24"/>
          <w:lang w:eastAsia="pt-BR"/>
        </w:rPr>
        <w:t>Dmín</w:t>
      </w:r>
      <w:proofErr w:type="spellEnd"/>
      <w:r w:rsidRPr="00487041">
        <w:rPr>
          <w:rFonts w:ascii="Times New Roman" w:hAnsi="Times New Roman"/>
          <w:sz w:val="24"/>
          <w:szCs w:val="24"/>
          <w:lang w:eastAsia="pt-BR"/>
        </w:rPr>
        <w:t xml:space="preserve"> e razão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w:t>
      </w:r>
      <w:proofErr w:type="spellStart"/>
      <w:r w:rsidRPr="00487041">
        <w:rPr>
          <w:rFonts w:ascii="Times New Roman" w:hAnsi="Times New Roman"/>
          <w:sz w:val="24"/>
          <w:szCs w:val="24"/>
          <w:lang w:eastAsia="pt-BR"/>
        </w:rPr>
        <w:t>Dmín</w:t>
      </w:r>
      <w:proofErr w:type="spellEnd"/>
      <w:r w:rsidRPr="00487041">
        <w:rPr>
          <w:rFonts w:ascii="Times New Roman" w:hAnsi="Times New Roman"/>
          <w:sz w:val="24"/>
          <w:szCs w:val="24"/>
          <w:lang w:eastAsia="pt-BR"/>
        </w:rPr>
        <w:t>.</w:t>
      </w:r>
    </w:p>
    <w:p w14:paraId="008E852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67. No caso de análise de imagem manual, a análise estatística de bioequivalência populacional deverá ser realizada separadamente nos resultados de:</w:t>
      </w:r>
    </w:p>
    <w:p w14:paraId="76963CD2"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 1ª distância (trinta resultados); e</w:t>
      </w:r>
    </w:p>
    <w:p w14:paraId="7CA82B77"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 2ª distância (trinta resultados).</w:t>
      </w:r>
    </w:p>
    <w:p w14:paraId="5A985E41"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68. No caso de análise de imagem automática, a análise estatística de bioequivalência populacional deverá ser realizada separadamente nos resultados de:</w:t>
      </w:r>
    </w:p>
    <w:p w14:paraId="2264BE5B"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 - área do perímetro do padrão de spray, 1ª distância (trinta resultados); e</w:t>
      </w:r>
    </w:p>
    <w:p w14:paraId="0DE75B4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 - área do perímetro do padrão de spray, 2ª distância (trinta resultados).</w:t>
      </w:r>
    </w:p>
    <w:p w14:paraId="7FA4E7A3"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69. Para qualquer tipo de análise de imagem, realizar análise estatística de bioequivalência populacional separadamente nos resultados de:</w:t>
      </w:r>
    </w:p>
    <w:p w14:paraId="7457514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razão</w:t>
      </w:r>
      <w:proofErr w:type="gramEnd"/>
      <w:r w:rsidRPr="00487041">
        <w:rPr>
          <w:rFonts w:ascii="Times New Roman" w:hAnsi="Times New Roman"/>
          <w:sz w:val="24"/>
          <w:szCs w:val="24"/>
          <w:lang w:eastAsia="pt-BR"/>
        </w:rPr>
        <w:t xml:space="preserve">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w:t>
      </w:r>
      <w:proofErr w:type="spellStart"/>
      <w:r w:rsidRPr="00487041">
        <w:rPr>
          <w:rFonts w:ascii="Times New Roman" w:hAnsi="Times New Roman"/>
          <w:sz w:val="24"/>
          <w:szCs w:val="24"/>
          <w:lang w:eastAsia="pt-BR"/>
        </w:rPr>
        <w:t>Dmín</w:t>
      </w:r>
      <w:proofErr w:type="spellEnd"/>
      <w:r w:rsidRPr="00487041">
        <w:rPr>
          <w:rFonts w:ascii="Times New Roman" w:hAnsi="Times New Roman"/>
          <w:sz w:val="24"/>
          <w:szCs w:val="24"/>
          <w:lang w:eastAsia="pt-BR"/>
        </w:rPr>
        <w:t>, 1ª distância (trinta resultados); e</w:t>
      </w:r>
    </w:p>
    <w:p w14:paraId="54D6BED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razão</w:t>
      </w:r>
      <w:proofErr w:type="gramEnd"/>
      <w:r w:rsidRPr="00487041">
        <w:rPr>
          <w:rFonts w:ascii="Times New Roman" w:hAnsi="Times New Roman"/>
          <w:sz w:val="24"/>
          <w:szCs w:val="24"/>
          <w:lang w:eastAsia="pt-BR"/>
        </w:rPr>
        <w:t xml:space="preserve">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w:t>
      </w:r>
      <w:proofErr w:type="spellStart"/>
      <w:r w:rsidRPr="00487041">
        <w:rPr>
          <w:rFonts w:ascii="Times New Roman" w:hAnsi="Times New Roman"/>
          <w:sz w:val="24"/>
          <w:szCs w:val="24"/>
          <w:lang w:eastAsia="pt-BR"/>
        </w:rPr>
        <w:t>Dmín</w:t>
      </w:r>
      <w:proofErr w:type="spellEnd"/>
      <w:r w:rsidRPr="00487041">
        <w:rPr>
          <w:rFonts w:ascii="Times New Roman" w:hAnsi="Times New Roman"/>
          <w:sz w:val="24"/>
          <w:szCs w:val="24"/>
          <w:lang w:eastAsia="pt-BR"/>
        </w:rPr>
        <w:t>, 2ª distância (trinta resultados).</w:t>
      </w:r>
    </w:p>
    <w:p w14:paraId="4D63AC59"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Art. 70. </w:t>
      </w:r>
      <w:proofErr w:type="gramStart"/>
      <w:r w:rsidRPr="00487041">
        <w:rPr>
          <w:rFonts w:ascii="Times New Roman" w:hAnsi="Times New Roman"/>
          <w:sz w:val="24"/>
          <w:szCs w:val="24"/>
          <w:lang w:eastAsia="pt-BR"/>
        </w:rPr>
        <w:t>Os resultados do medicamento teste</w:t>
      </w:r>
      <w:proofErr w:type="gramEnd"/>
      <w:r w:rsidRPr="00487041">
        <w:rPr>
          <w:rFonts w:ascii="Times New Roman" w:hAnsi="Times New Roman"/>
          <w:sz w:val="24"/>
          <w:szCs w:val="24"/>
          <w:lang w:eastAsia="pt-BR"/>
        </w:rPr>
        <w:t xml:space="preserve"> devem ser semelhantes aos do medicamento de referência/comparador. Devem ser apresentadas justificativas para resultados discrepantes.</w:t>
      </w:r>
    </w:p>
    <w:p w14:paraId="03D7AA4D"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lastRenderedPageBreak/>
        <w:t>Art. 71. O Certificado de Equivalência Farmacêutica ou de Provas de Desempenho deve reportar os resultados da análise estatística de bioequivalência populacional, tanto para o medicamento teste como para o medicamento referência/comparador.</w:t>
      </w:r>
    </w:p>
    <w:p w14:paraId="03AD08E5"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72. Nos casos de análise manual, o centro de equivalência farmacêutica deverá arquivar, junto aos documentos referentes ao estudo, imagem em alta resolução na qual foi realizada a determinação manual dos parâmetros centro de massa (COM), diâmetro maior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 diâmetro menor (</w:t>
      </w:r>
      <w:proofErr w:type="spellStart"/>
      <w:r w:rsidRPr="00487041">
        <w:rPr>
          <w:rFonts w:ascii="Times New Roman" w:hAnsi="Times New Roman"/>
          <w:sz w:val="24"/>
          <w:szCs w:val="24"/>
          <w:lang w:eastAsia="pt-BR"/>
        </w:rPr>
        <w:t>Dmín</w:t>
      </w:r>
      <w:proofErr w:type="spellEnd"/>
      <w:r w:rsidRPr="00487041">
        <w:rPr>
          <w:rFonts w:ascii="Times New Roman" w:hAnsi="Times New Roman"/>
          <w:sz w:val="24"/>
          <w:szCs w:val="24"/>
          <w:lang w:eastAsia="pt-BR"/>
        </w:rPr>
        <w:t>) de cada um dos dispositivos testados.</w:t>
      </w:r>
    </w:p>
    <w:p w14:paraId="203AE02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73. Devem fazer parte do Protocolo e Relatório de estudo de equivalência farmacêutica ou de provas de desempenho os seguintes documentos e informações, a serem apresentados à Anvisa:</w:t>
      </w:r>
    </w:p>
    <w:p w14:paraId="0DB62365"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completa do mecanismo utilizado no ensaio (impacto ou não impacto) e, quando presentes, dos acessórios;</w:t>
      </w:r>
    </w:p>
    <w:p w14:paraId="1F788A66"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II - </w:t>
      </w:r>
      <w:proofErr w:type="gramStart"/>
      <w:r w:rsidRPr="00487041">
        <w:rPr>
          <w:rFonts w:ascii="Times New Roman" w:hAnsi="Times New Roman"/>
          <w:sz w:val="24"/>
          <w:szCs w:val="24"/>
          <w:lang w:eastAsia="pt-BR"/>
        </w:rPr>
        <w:t>descrição</w:t>
      </w:r>
      <w:proofErr w:type="gramEnd"/>
      <w:r w:rsidRPr="00487041">
        <w:rPr>
          <w:rFonts w:ascii="Times New Roman" w:hAnsi="Times New Roman"/>
          <w:sz w:val="24"/>
          <w:szCs w:val="24"/>
          <w:lang w:eastAsia="pt-BR"/>
        </w:rPr>
        <w:t xml:space="preserve"> dos parâmetros, quando couber, e seus critérios de aceitação, que devem ser controlados nesse mecanismo e, quando presentes, em seus acessórios, para otimização do método, de acordo com o determinado por seu fabricante;</w:t>
      </w:r>
    </w:p>
    <w:p w14:paraId="6E622113"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III - critérios adotados, no caso de mecanismo de impacto, e seus registros e evidências, para o estabelecimento da técnica de revelação da macha do padrão de spray;</w:t>
      </w:r>
    </w:p>
    <w:p w14:paraId="459BD4AE"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IV - </w:t>
      </w:r>
      <w:proofErr w:type="gramStart"/>
      <w:r w:rsidRPr="00487041">
        <w:rPr>
          <w:rFonts w:ascii="Times New Roman" w:hAnsi="Times New Roman"/>
          <w:sz w:val="24"/>
          <w:szCs w:val="24"/>
          <w:lang w:eastAsia="pt-BR"/>
        </w:rPr>
        <w:t>versão</w:t>
      </w:r>
      <w:proofErr w:type="gramEnd"/>
      <w:r w:rsidRPr="00487041">
        <w:rPr>
          <w:rFonts w:ascii="Times New Roman" w:hAnsi="Times New Roman"/>
          <w:sz w:val="24"/>
          <w:szCs w:val="24"/>
          <w:lang w:eastAsia="pt-BR"/>
        </w:rPr>
        <w:t xml:space="preserve"> do software utilizado, no caso de mecanismo de não-impacto;</w:t>
      </w:r>
    </w:p>
    <w:p w14:paraId="063AFDF1"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 - </w:t>
      </w:r>
      <w:proofErr w:type="gramStart"/>
      <w:r w:rsidRPr="00487041">
        <w:rPr>
          <w:rFonts w:ascii="Times New Roman" w:hAnsi="Times New Roman"/>
          <w:sz w:val="24"/>
          <w:szCs w:val="24"/>
          <w:lang w:eastAsia="pt-BR"/>
        </w:rPr>
        <w:t>critérios</w:t>
      </w:r>
      <w:proofErr w:type="gramEnd"/>
      <w:r w:rsidRPr="00487041">
        <w:rPr>
          <w:rFonts w:ascii="Times New Roman" w:hAnsi="Times New Roman"/>
          <w:sz w:val="24"/>
          <w:szCs w:val="24"/>
          <w:lang w:eastAsia="pt-BR"/>
        </w:rPr>
        <w:t xml:space="preserve"> adotados, e seus registros e evidências, para o estabelecimento das distâncias entre o orifício do atuador e a superfície de impacto;</w:t>
      </w:r>
    </w:p>
    <w:p w14:paraId="202CBB27"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VI - </w:t>
      </w:r>
      <w:proofErr w:type="gramStart"/>
      <w:r w:rsidRPr="00487041">
        <w:rPr>
          <w:rFonts w:ascii="Times New Roman" w:hAnsi="Times New Roman"/>
          <w:sz w:val="24"/>
          <w:szCs w:val="24"/>
          <w:lang w:eastAsia="pt-BR"/>
        </w:rPr>
        <w:t>registro</w:t>
      </w:r>
      <w:proofErr w:type="gramEnd"/>
      <w:r w:rsidRPr="00487041">
        <w:rPr>
          <w:rFonts w:ascii="Times New Roman" w:hAnsi="Times New Roman"/>
          <w:sz w:val="24"/>
          <w:szCs w:val="24"/>
          <w:lang w:eastAsia="pt-BR"/>
        </w:rPr>
        <w:t xml:space="preserve"> dos controles realizados no mecanismo previamente e durante a condução do ensaio;</w:t>
      </w:r>
    </w:p>
    <w:p w14:paraId="6F148E46"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VII - registro das distâncias adotadas na condução do ensaio das amostras do medicamento teste e das do medicamento de referência/comparador;</w:t>
      </w:r>
    </w:p>
    <w:p w14:paraId="02A2FBBC"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VIII - registros da técnica de revelação utilizada para visualização da mancha da pluma, no caso de mecanismo de impacto;</w:t>
      </w:r>
    </w:p>
    <w:p w14:paraId="41A008C7"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IX - </w:t>
      </w:r>
      <w:proofErr w:type="gramStart"/>
      <w:r w:rsidRPr="00487041">
        <w:rPr>
          <w:rFonts w:ascii="Times New Roman" w:hAnsi="Times New Roman"/>
          <w:sz w:val="24"/>
          <w:szCs w:val="24"/>
          <w:lang w:eastAsia="pt-BR"/>
        </w:rPr>
        <w:t>registro</w:t>
      </w:r>
      <w:proofErr w:type="gramEnd"/>
      <w:r w:rsidRPr="00487041">
        <w:rPr>
          <w:rFonts w:ascii="Times New Roman" w:hAnsi="Times New Roman"/>
          <w:sz w:val="24"/>
          <w:szCs w:val="24"/>
          <w:lang w:eastAsia="pt-BR"/>
        </w:rPr>
        <w:t xml:space="preserve"> do momento (tempo) em que a imagem do padrão do spray foi capturado durante a condução do ensaio, no caso de mecanismo de não-impacto;</w:t>
      </w:r>
    </w:p>
    <w:p w14:paraId="337D9DF3" w14:textId="77777777" w:rsidR="00382EB8" w:rsidRP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 xml:space="preserve">X - </w:t>
      </w:r>
      <w:proofErr w:type="gramStart"/>
      <w:r w:rsidRPr="00487041">
        <w:rPr>
          <w:rFonts w:ascii="Times New Roman" w:hAnsi="Times New Roman"/>
          <w:sz w:val="24"/>
          <w:szCs w:val="24"/>
          <w:lang w:eastAsia="pt-BR"/>
        </w:rPr>
        <w:t>cópia</w:t>
      </w:r>
      <w:proofErr w:type="gramEnd"/>
      <w:r w:rsidRPr="00487041">
        <w:rPr>
          <w:rFonts w:ascii="Times New Roman" w:hAnsi="Times New Roman"/>
          <w:sz w:val="24"/>
          <w:szCs w:val="24"/>
          <w:lang w:eastAsia="pt-BR"/>
        </w:rPr>
        <w:t xml:space="preserve"> das imagens dos padrões de spray obtidos das amostras do medicamento teste e das do medicamento de referência nas duas distâncias avaliadas, com indicação clara do perímetro da forma do padrão de spray e área dentro desse perímetro (no caso de análise automática de imagem), COG/COM, </w:t>
      </w:r>
      <w:proofErr w:type="spellStart"/>
      <w:r w:rsidRPr="00487041">
        <w:rPr>
          <w:rFonts w:ascii="Times New Roman" w:hAnsi="Times New Roman"/>
          <w:sz w:val="24"/>
          <w:szCs w:val="24"/>
          <w:lang w:eastAsia="pt-BR"/>
        </w:rPr>
        <w:t>Dmáx</w:t>
      </w:r>
      <w:proofErr w:type="spellEnd"/>
      <w:r w:rsidRPr="00487041">
        <w:rPr>
          <w:rFonts w:ascii="Times New Roman" w:hAnsi="Times New Roman"/>
          <w:sz w:val="24"/>
          <w:szCs w:val="24"/>
          <w:lang w:eastAsia="pt-BR"/>
        </w:rPr>
        <w:t xml:space="preserve"> e </w:t>
      </w:r>
      <w:proofErr w:type="spellStart"/>
      <w:r w:rsidRPr="00487041">
        <w:rPr>
          <w:rFonts w:ascii="Times New Roman" w:hAnsi="Times New Roman"/>
          <w:sz w:val="24"/>
          <w:szCs w:val="24"/>
          <w:lang w:eastAsia="pt-BR"/>
        </w:rPr>
        <w:t>Dmín</w:t>
      </w:r>
      <w:proofErr w:type="spellEnd"/>
      <w:r w:rsidRPr="00487041">
        <w:rPr>
          <w:rFonts w:ascii="Times New Roman" w:hAnsi="Times New Roman"/>
          <w:sz w:val="24"/>
          <w:szCs w:val="24"/>
          <w:lang w:eastAsia="pt-BR"/>
        </w:rPr>
        <w:t>; e</w:t>
      </w:r>
    </w:p>
    <w:p w14:paraId="75215415"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XI - arquivo eletrônico contendo tabela com todos os dados brutos obtidos e toda a análise estatística de bioequivalência populacional aplicada nos resultados das amostras do medicamento teste e das do medicamento de referência/comparador.</w:t>
      </w:r>
    </w:p>
    <w:p w14:paraId="1AA39D8C" w14:textId="77777777" w:rsidR="00382EB8" w:rsidRP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lastRenderedPageBreak/>
        <w:t>Seção IX</w:t>
      </w:r>
    </w:p>
    <w:p w14:paraId="11DFB757" w14:textId="77777777" w:rsidR="00487041" w:rsidRDefault="00382EB8" w:rsidP="00487041">
      <w:pPr>
        <w:spacing w:after="200" w:line="240" w:lineRule="auto"/>
        <w:ind w:left="120" w:right="120"/>
        <w:jc w:val="center"/>
        <w:rPr>
          <w:rFonts w:ascii="Times New Roman" w:hAnsi="Times New Roman"/>
          <w:sz w:val="24"/>
          <w:szCs w:val="24"/>
          <w:lang w:eastAsia="pt-BR"/>
        </w:rPr>
      </w:pPr>
      <w:r w:rsidRPr="00487041">
        <w:rPr>
          <w:rFonts w:ascii="Times New Roman" w:hAnsi="Times New Roman"/>
          <w:b/>
          <w:bCs/>
          <w:sz w:val="24"/>
          <w:szCs w:val="24"/>
          <w:lang w:eastAsia="pt-BR"/>
        </w:rPr>
        <w:t>Tempo Médio de Nebulização</w:t>
      </w:r>
    </w:p>
    <w:p w14:paraId="4E892FEA"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74. O ensaio de tempo médio de nebulização deverá ser conduzido utilizando, no mínimo, trinta unidades de três lotes do medicamento teste, sendo dez unidades de cada lote; e trinta unidades de três lotes do medicamento de referência/comparador, sendo dez unidades de cada lote, ou trinta dispositivos de um lote desse medicamento.</w:t>
      </w:r>
    </w:p>
    <w:p w14:paraId="7FFFFD65"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75. O ensaio deverá avaliar, separadamente, para cada unidade testada, o tempo corrido entre o início da nebulização até o momento em que não haja mais a formação de névoa.</w:t>
      </w:r>
    </w:p>
    <w:p w14:paraId="1AA9004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Parágrafo único. Os dados do ensaio do tempo médio de nebulização podem ser estabelecidos a partir dos dados obtidos na condução do ensaio de Conteúdo Médio Entregue durante a Nebulização.</w:t>
      </w:r>
    </w:p>
    <w:p w14:paraId="607C95E8"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76. A determinação do tempo médio de nebulização é um ensaio informativo.</w:t>
      </w:r>
    </w:p>
    <w:p w14:paraId="268FD7A0"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77. O Certificado de Equivalência Farmacêutica ou de Provas de Desempenho deve reportar o tempo médio de nebulização para o medicamento teste e para o medicamento referência/comparador.</w:t>
      </w:r>
    </w:p>
    <w:p w14:paraId="774FCFA4"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78. Devem fazer parte do Protocolo e Relatório as cópias das folhas ou fichas de análise do presente ensaio, para as amostras do medicamento teste e para as do medicamento de referência/comparador.</w:t>
      </w:r>
    </w:p>
    <w:p w14:paraId="4BDDC176" w14:textId="77777777" w:rsidR="00382EB8" w:rsidRPr="00487041" w:rsidRDefault="00382EB8" w:rsidP="00487041">
      <w:pPr>
        <w:spacing w:after="200" w:line="240" w:lineRule="auto"/>
        <w:jc w:val="center"/>
        <w:rPr>
          <w:rFonts w:ascii="Times New Roman" w:hAnsi="Times New Roman"/>
          <w:b/>
          <w:bCs/>
          <w:caps/>
          <w:sz w:val="24"/>
          <w:szCs w:val="24"/>
          <w:lang w:eastAsia="pt-BR"/>
        </w:rPr>
      </w:pPr>
      <w:bookmarkStart w:id="0" w:name="_GoBack"/>
      <w:bookmarkEnd w:id="0"/>
      <w:r w:rsidRPr="00487041">
        <w:rPr>
          <w:rFonts w:ascii="Times New Roman" w:hAnsi="Times New Roman"/>
          <w:b/>
          <w:bCs/>
          <w:caps/>
          <w:sz w:val="24"/>
          <w:szCs w:val="24"/>
          <w:lang w:eastAsia="pt-BR"/>
        </w:rPr>
        <w:t>CAPÍTULO III</w:t>
      </w:r>
    </w:p>
    <w:p w14:paraId="1553A183" w14:textId="77777777" w:rsidR="00487041" w:rsidRDefault="00382EB8" w:rsidP="00487041">
      <w:pPr>
        <w:spacing w:after="200" w:line="240" w:lineRule="auto"/>
        <w:jc w:val="center"/>
        <w:rPr>
          <w:rFonts w:ascii="Times New Roman" w:hAnsi="Times New Roman"/>
          <w:b/>
          <w:bCs/>
          <w:caps/>
          <w:sz w:val="24"/>
          <w:szCs w:val="24"/>
          <w:lang w:eastAsia="pt-BR"/>
        </w:rPr>
      </w:pPr>
      <w:r w:rsidRPr="00487041">
        <w:rPr>
          <w:rFonts w:ascii="Times New Roman" w:hAnsi="Times New Roman"/>
          <w:b/>
          <w:bCs/>
          <w:caps/>
          <w:sz w:val="24"/>
          <w:szCs w:val="24"/>
          <w:lang w:eastAsia="pt-BR"/>
        </w:rPr>
        <w:t>DISPOSIÇÕES FINAIS</w:t>
      </w:r>
    </w:p>
    <w:p w14:paraId="4467E9AB" w14:textId="77777777" w:rsidR="00487041" w:rsidRDefault="00382EB8" w:rsidP="00487041">
      <w:pPr>
        <w:spacing w:after="200" w:line="240" w:lineRule="auto"/>
        <w:ind w:firstLine="567"/>
        <w:jc w:val="both"/>
        <w:rPr>
          <w:rFonts w:ascii="Times New Roman" w:hAnsi="Times New Roman"/>
          <w:sz w:val="24"/>
          <w:szCs w:val="24"/>
          <w:lang w:eastAsia="pt-BR"/>
        </w:rPr>
      </w:pPr>
      <w:r w:rsidRPr="00487041">
        <w:rPr>
          <w:rFonts w:ascii="Times New Roman" w:hAnsi="Times New Roman"/>
          <w:sz w:val="24"/>
          <w:szCs w:val="24"/>
          <w:lang w:eastAsia="pt-BR"/>
        </w:rPr>
        <w:t>Art. 79. Esta Instrução Normativa entra em vigor na data da sua publicação.</w:t>
      </w:r>
    </w:p>
    <w:p w14:paraId="617C1F1C" w14:textId="77777777" w:rsidR="00487041" w:rsidRDefault="00487041" w:rsidP="00487041">
      <w:pPr>
        <w:spacing w:after="200" w:line="240" w:lineRule="auto"/>
        <w:ind w:left="119" w:right="119"/>
        <w:jc w:val="center"/>
        <w:rPr>
          <w:rFonts w:ascii="Times New Roman" w:hAnsi="Times New Roman"/>
          <w:b/>
          <w:bCs/>
          <w:sz w:val="24"/>
          <w:szCs w:val="24"/>
          <w:lang w:eastAsia="pt-BR"/>
        </w:rPr>
      </w:pPr>
    </w:p>
    <w:p w14:paraId="71C254C7" w14:textId="77777777" w:rsidR="00487041" w:rsidRDefault="00487041" w:rsidP="00487041">
      <w:pPr>
        <w:spacing w:after="200" w:line="240" w:lineRule="auto"/>
        <w:ind w:left="119" w:right="119"/>
        <w:jc w:val="center"/>
        <w:rPr>
          <w:rFonts w:ascii="Times New Roman" w:hAnsi="Times New Roman"/>
          <w:b/>
          <w:bCs/>
          <w:sz w:val="24"/>
          <w:szCs w:val="24"/>
          <w:lang w:eastAsia="pt-BR"/>
        </w:rPr>
      </w:pPr>
    </w:p>
    <w:p w14:paraId="473B4DCE" w14:textId="77777777" w:rsidR="00382EB8" w:rsidRPr="00487041" w:rsidRDefault="00382EB8" w:rsidP="00487041">
      <w:pPr>
        <w:spacing w:after="200" w:line="240" w:lineRule="auto"/>
        <w:ind w:left="119" w:right="119"/>
        <w:jc w:val="center"/>
        <w:rPr>
          <w:rFonts w:ascii="Times New Roman" w:hAnsi="Times New Roman"/>
          <w:b/>
          <w:sz w:val="24"/>
          <w:szCs w:val="24"/>
          <w:lang w:eastAsia="pt-BR"/>
        </w:rPr>
      </w:pPr>
      <w:r w:rsidRPr="00487041">
        <w:rPr>
          <w:rFonts w:ascii="Times New Roman" w:hAnsi="Times New Roman"/>
          <w:b/>
          <w:bCs/>
          <w:sz w:val="24"/>
          <w:szCs w:val="24"/>
          <w:lang w:eastAsia="pt-BR"/>
        </w:rPr>
        <w:t>WILLIAM DIB</w:t>
      </w:r>
    </w:p>
    <w:p w14:paraId="4924A6E3" w14:textId="77777777" w:rsidR="00487041" w:rsidRPr="00487041" w:rsidRDefault="00382EB8" w:rsidP="00487041">
      <w:pPr>
        <w:spacing w:after="200" w:line="240" w:lineRule="auto"/>
        <w:ind w:left="119" w:right="119"/>
        <w:jc w:val="center"/>
        <w:rPr>
          <w:rFonts w:ascii="Times New Roman" w:hAnsi="Times New Roman"/>
          <w:b/>
          <w:sz w:val="24"/>
          <w:szCs w:val="24"/>
          <w:lang w:eastAsia="pt-BR"/>
        </w:rPr>
      </w:pPr>
      <w:r w:rsidRPr="00487041">
        <w:rPr>
          <w:rFonts w:ascii="Times New Roman" w:hAnsi="Times New Roman"/>
          <w:b/>
          <w:sz w:val="24"/>
          <w:szCs w:val="24"/>
          <w:lang w:eastAsia="pt-BR"/>
        </w:rPr>
        <w:t>Diretor Presidente</w:t>
      </w:r>
    </w:p>
    <w:p w14:paraId="1E231E25" w14:textId="77777777" w:rsidR="00C8735A" w:rsidRPr="00487041" w:rsidRDefault="00C8735A" w:rsidP="00487041">
      <w:pPr>
        <w:spacing w:after="200" w:line="240" w:lineRule="auto"/>
        <w:ind w:left="120" w:right="120"/>
        <w:rPr>
          <w:rFonts w:ascii="Times New Roman" w:hAnsi="Times New Roman"/>
          <w:sz w:val="24"/>
          <w:szCs w:val="24"/>
          <w:lang w:eastAsia="pt-BR"/>
        </w:rPr>
      </w:pPr>
    </w:p>
    <w:sectPr w:rsidR="00C8735A" w:rsidRPr="0048704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50179" w14:textId="77777777" w:rsidR="00487041" w:rsidRDefault="00487041" w:rsidP="00487041">
      <w:pPr>
        <w:spacing w:after="0" w:line="240" w:lineRule="auto"/>
      </w:pPr>
      <w:r>
        <w:separator/>
      </w:r>
    </w:p>
  </w:endnote>
  <w:endnote w:type="continuationSeparator" w:id="0">
    <w:p w14:paraId="05E89F17" w14:textId="77777777" w:rsidR="00487041" w:rsidRDefault="00487041" w:rsidP="0048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ADE9" w14:textId="77777777" w:rsidR="00487041" w:rsidRDefault="00487041" w:rsidP="00487041">
    <w:pPr>
      <w:pStyle w:val="Rodap"/>
      <w:jc w:val="center"/>
    </w:pPr>
    <w:r w:rsidRPr="0018049F">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84BF2" w14:textId="77777777" w:rsidR="00487041" w:rsidRDefault="00487041" w:rsidP="00487041">
      <w:pPr>
        <w:spacing w:after="0" w:line="240" w:lineRule="auto"/>
      </w:pPr>
      <w:r>
        <w:separator/>
      </w:r>
    </w:p>
  </w:footnote>
  <w:footnote w:type="continuationSeparator" w:id="0">
    <w:p w14:paraId="58AAF3D1" w14:textId="77777777" w:rsidR="00487041" w:rsidRDefault="00487041" w:rsidP="00487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ED03A" w14:textId="77777777" w:rsidR="00487041" w:rsidRPr="0018049F" w:rsidRDefault="00487041" w:rsidP="00487041">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18F2F518" wp14:editId="3BB15D14">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25673583" w14:textId="77777777" w:rsidR="00487041" w:rsidRPr="0018049F" w:rsidRDefault="00487041" w:rsidP="00487041">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037CA069" w14:textId="77777777" w:rsidR="00487041" w:rsidRDefault="00487041" w:rsidP="00487041">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5F228A00" w14:textId="77777777" w:rsidR="00487041" w:rsidRDefault="0048704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B8"/>
    <w:rsid w:val="001E4A1F"/>
    <w:rsid w:val="00382EB8"/>
    <w:rsid w:val="00487041"/>
    <w:rsid w:val="005B09B2"/>
    <w:rsid w:val="00C8735A"/>
    <w:rsid w:val="00F67C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A5C3F3"/>
  <w14:defaultImageDpi w14:val="0"/>
  <w15:docId w15:val="{366E4D02-A151-48D7-80BC-7F3C2951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textocentralizado">
    <w:name w:val="tabela_texto_centralizado"/>
    <w:basedOn w:val="Normal"/>
    <w:rsid w:val="00382EB8"/>
    <w:pPr>
      <w:spacing w:after="0" w:line="240" w:lineRule="auto"/>
      <w:ind w:left="60" w:right="60"/>
      <w:jc w:val="center"/>
    </w:pPr>
    <w:rPr>
      <w:rFonts w:ascii="Calibri" w:hAnsi="Calibri" w:cs="Calibri"/>
      <w:lang w:eastAsia="pt-BR"/>
    </w:rPr>
  </w:style>
  <w:style w:type="paragraph" w:customStyle="1" w:styleId="textocentralizado">
    <w:name w:val="texto_centralizado"/>
    <w:basedOn w:val="Normal"/>
    <w:rsid w:val="00382EB8"/>
    <w:pPr>
      <w:spacing w:before="120" w:after="120" w:line="240" w:lineRule="auto"/>
      <w:ind w:left="120" w:right="120"/>
      <w:jc w:val="center"/>
    </w:pPr>
    <w:rPr>
      <w:rFonts w:ascii="Calibri" w:hAnsi="Calibri" w:cs="Calibri"/>
      <w:sz w:val="24"/>
      <w:szCs w:val="24"/>
      <w:lang w:eastAsia="pt-BR"/>
    </w:rPr>
  </w:style>
  <w:style w:type="paragraph" w:customStyle="1" w:styleId="textocentralizadoespacamentosimples">
    <w:name w:val="texto_centralizado_espacamento_simples"/>
    <w:basedOn w:val="Normal"/>
    <w:rsid w:val="00382EB8"/>
    <w:pPr>
      <w:spacing w:after="0" w:line="240" w:lineRule="auto"/>
      <w:jc w:val="center"/>
    </w:pPr>
    <w:rPr>
      <w:rFonts w:ascii="Calibri" w:hAnsi="Calibri" w:cs="Calibri"/>
      <w:sz w:val="24"/>
      <w:szCs w:val="24"/>
      <w:lang w:eastAsia="pt-BR"/>
    </w:rPr>
  </w:style>
  <w:style w:type="paragraph" w:customStyle="1" w:styleId="textocentralizadomaiusculas">
    <w:name w:val="texto_centralizado_maiusculas"/>
    <w:basedOn w:val="Normal"/>
    <w:rsid w:val="00382EB8"/>
    <w:pPr>
      <w:spacing w:before="100" w:beforeAutospacing="1" w:after="100" w:afterAutospacing="1" w:line="240" w:lineRule="auto"/>
      <w:jc w:val="center"/>
    </w:pPr>
    <w:rPr>
      <w:rFonts w:ascii="Calibri" w:hAnsi="Calibri" w:cs="Calibri"/>
      <w:caps/>
      <w:sz w:val="26"/>
      <w:szCs w:val="26"/>
      <w:lang w:eastAsia="pt-BR"/>
    </w:rPr>
  </w:style>
  <w:style w:type="paragraph" w:customStyle="1" w:styleId="textocentralizadomaiusculasnegrito">
    <w:name w:val="texto_centralizado_maiusculas_negrito"/>
    <w:basedOn w:val="Normal"/>
    <w:rsid w:val="00382EB8"/>
    <w:pPr>
      <w:spacing w:before="100" w:beforeAutospacing="1" w:after="100" w:afterAutospacing="1" w:line="240" w:lineRule="auto"/>
      <w:jc w:val="center"/>
    </w:pPr>
    <w:rPr>
      <w:rFonts w:ascii="Calibri" w:hAnsi="Calibri" w:cs="Calibri"/>
      <w:b/>
      <w:bCs/>
      <w:caps/>
      <w:sz w:val="26"/>
      <w:szCs w:val="26"/>
      <w:lang w:eastAsia="pt-BR"/>
    </w:rPr>
  </w:style>
  <w:style w:type="paragraph" w:customStyle="1" w:styleId="textojustificadoespacamentosimples">
    <w:name w:val="texto_justificado_espacamento_simples"/>
    <w:basedOn w:val="Normal"/>
    <w:rsid w:val="00382EB8"/>
    <w:pPr>
      <w:spacing w:after="0" w:line="240" w:lineRule="auto"/>
      <w:jc w:val="both"/>
    </w:pPr>
    <w:rPr>
      <w:rFonts w:ascii="Calibri" w:hAnsi="Calibri" w:cs="Calibri"/>
      <w:sz w:val="24"/>
      <w:szCs w:val="24"/>
      <w:lang w:eastAsia="pt-BR"/>
    </w:rPr>
  </w:style>
  <w:style w:type="paragraph" w:customStyle="1" w:styleId="textojustificadorecuoprimeiralinha">
    <w:name w:val="texto_justificado_recuo_primeira_linha"/>
    <w:basedOn w:val="Normal"/>
    <w:rsid w:val="00382EB8"/>
    <w:pPr>
      <w:spacing w:before="120" w:after="120" w:line="240" w:lineRule="auto"/>
      <w:ind w:left="120" w:right="120" w:firstLine="1418"/>
      <w:jc w:val="both"/>
    </w:pPr>
    <w:rPr>
      <w:rFonts w:ascii="Calibri" w:hAnsi="Calibri" w:cs="Calibri"/>
      <w:sz w:val="24"/>
      <w:szCs w:val="24"/>
      <w:lang w:eastAsia="pt-BR"/>
    </w:rPr>
  </w:style>
  <w:style w:type="paragraph" w:customStyle="1" w:styleId="textojustificadorecuoprimeiralinhaespsimples">
    <w:name w:val="texto_justificado_recuo_primeira_linha_esp_simples"/>
    <w:basedOn w:val="Normal"/>
    <w:rsid w:val="00382EB8"/>
    <w:pPr>
      <w:spacing w:after="0" w:line="240" w:lineRule="auto"/>
      <w:ind w:left="120" w:firstLine="1418"/>
      <w:jc w:val="both"/>
    </w:pPr>
    <w:rPr>
      <w:rFonts w:ascii="Calibri" w:hAnsi="Calibri" w:cs="Calibri"/>
      <w:sz w:val="24"/>
      <w:szCs w:val="24"/>
      <w:lang w:eastAsia="pt-BR"/>
    </w:rPr>
  </w:style>
  <w:style w:type="character" w:styleId="Forte">
    <w:name w:val="Strong"/>
    <w:basedOn w:val="Fontepargpadro"/>
    <w:uiPriority w:val="22"/>
    <w:qFormat/>
    <w:rsid w:val="00382EB8"/>
    <w:rPr>
      <w:rFonts w:cs="Times New Roman"/>
      <w:b/>
      <w:bCs/>
    </w:rPr>
  </w:style>
  <w:style w:type="character" w:styleId="nfase">
    <w:name w:val="Emphasis"/>
    <w:basedOn w:val="Fontepargpadro"/>
    <w:uiPriority w:val="20"/>
    <w:qFormat/>
    <w:rsid w:val="00382EB8"/>
    <w:rPr>
      <w:rFonts w:cs="Times New Roman"/>
      <w:i/>
      <w:iCs/>
    </w:rPr>
  </w:style>
  <w:style w:type="paragraph" w:styleId="NormalWeb">
    <w:name w:val="Normal (Web)"/>
    <w:basedOn w:val="Normal"/>
    <w:uiPriority w:val="99"/>
    <w:semiHidden/>
    <w:unhideWhenUsed/>
    <w:rsid w:val="00382EB8"/>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4870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041"/>
    <w:rPr>
      <w:rFonts w:cs="Times New Roman"/>
    </w:rPr>
  </w:style>
  <w:style w:type="paragraph" w:styleId="Rodap">
    <w:name w:val="footer"/>
    <w:basedOn w:val="Normal"/>
    <w:link w:val="RodapChar"/>
    <w:uiPriority w:val="99"/>
    <w:unhideWhenUsed/>
    <w:rsid w:val="00487041"/>
    <w:pPr>
      <w:tabs>
        <w:tab w:val="center" w:pos="4252"/>
        <w:tab w:val="right" w:pos="8504"/>
      </w:tabs>
      <w:spacing w:after="0" w:line="240" w:lineRule="auto"/>
    </w:pPr>
  </w:style>
  <w:style w:type="character" w:customStyle="1" w:styleId="RodapChar">
    <w:name w:val="Rodapé Char"/>
    <w:basedOn w:val="Fontepargpadro"/>
    <w:link w:val="Rodap"/>
    <w:uiPriority w:val="99"/>
    <w:rsid w:val="00487041"/>
    <w:rPr>
      <w:rFonts w:cs="Times New Roman"/>
    </w:rPr>
  </w:style>
  <w:style w:type="paragraph" w:styleId="PargrafodaLista">
    <w:name w:val="List Paragraph"/>
    <w:basedOn w:val="Normal"/>
    <w:uiPriority w:val="34"/>
    <w:qFormat/>
    <w:rsid w:val="00487041"/>
    <w:pPr>
      <w:spacing w:after="200" w:line="288" w:lineRule="auto"/>
      <w:ind w:left="720"/>
      <w:contextualSpacing/>
    </w:pPr>
    <w:rPr>
      <w:rFonts w:eastAsiaTheme="minorEastAsia"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5244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7bab62ed28711cc0b0a3676892a088a4">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0b512b8af7ebbdb6918c91415dd7ce19"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79C575-81EB-499C-B064-01493041C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784E8C-D06C-4D8A-96B5-94991828ACE8}">
  <ds:schemaRefs>
    <ds:schemaRef ds:uri="http://schemas.microsoft.com/sharepoint/v3/contenttype/forms"/>
  </ds:schemaRefs>
</ds:datastoreItem>
</file>

<file path=customXml/itemProps3.xml><?xml version="1.0" encoding="utf-8"?>
<ds:datastoreItem xmlns:ds="http://schemas.openxmlformats.org/officeDocument/2006/customXml" ds:itemID="{5BC89795-4725-4CF3-ADA8-04DB61E0138E}">
  <ds:schemaRefs>
    <ds:schemaRef ds:uri="3358cef2-5e33-4382-9f34-ebdf29ebf261"/>
    <ds:schemaRef ds:uri="http://purl.org/dc/terms/"/>
    <ds:schemaRef ds:uri="http://schemas.openxmlformats.org/package/2006/metadata/core-properties"/>
    <ds:schemaRef ds:uri="http://schemas.microsoft.com/office/2006/documentManagement/types"/>
    <ds:schemaRef ds:uri="1b481078-05fd-4425-adfc-5f858dcaa140"/>
    <ds:schemaRef ds:uri="http://www.w3.org/XML/1998/namespace"/>
    <ds:schemaRef ds:uri="http://purl.org/dc/elements/1.1/"/>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6882</Words>
  <Characters>37165</Characters>
  <Application>Microsoft Office Word</Application>
  <DocSecurity>4</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43960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2</cp:revision>
  <dcterms:created xsi:type="dcterms:W3CDTF">2019-04-17T15:08:00Z</dcterms:created>
  <dcterms:modified xsi:type="dcterms:W3CDTF">2019-04-17T15:08:00Z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