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8" w:rsidRPr="009325E1" w:rsidRDefault="008A6DFF" w:rsidP="00F028BA">
      <w:pPr>
        <w:spacing w:after="200"/>
        <w:jc w:val="center"/>
        <w:rPr>
          <w:b/>
          <w:sz w:val="24"/>
          <w:szCs w:val="24"/>
          <w:shd w:val="clear" w:color="auto" w:fill="FFFFFF"/>
          <w:lang w:val="pt-BR"/>
        </w:rPr>
      </w:pPr>
      <w:r w:rsidRPr="009325E1">
        <w:rPr>
          <w:b/>
          <w:sz w:val="24"/>
          <w:szCs w:val="24"/>
          <w:shd w:val="clear" w:color="auto" w:fill="FFFFFF"/>
          <w:lang w:val="pt-BR"/>
        </w:rPr>
        <w:t>PORTARIA Nº</w:t>
      </w:r>
      <w:r w:rsidR="004617B8" w:rsidRPr="009325E1">
        <w:rPr>
          <w:b/>
          <w:sz w:val="24"/>
          <w:szCs w:val="24"/>
          <w:shd w:val="clear" w:color="auto" w:fill="FFFFFF"/>
          <w:lang w:val="pt-BR"/>
        </w:rPr>
        <w:t xml:space="preserve"> </w:t>
      </w:r>
      <w:r w:rsidR="00895604" w:rsidRPr="009325E1">
        <w:rPr>
          <w:b/>
          <w:sz w:val="24"/>
          <w:szCs w:val="24"/>
          <w:shd w:val="clear" w:color="auto" w:fill="FFFFFF"/>
          <w:lang w:val="pt-BR"/>
        </w:rPr>
        <w:t>1.</w:t>
      </w:r>
      <w:r w:rsidR="009325E1" w:rsidRPr="009325E1">
        <w:rPr>
          <w:b/>
          <w:sz w:val="24"/>
          <w:szCs w:val="24"/>
          <w:shd w:val="clear" w:color="auto" w:fill="FFFFFF"/>
          <w:lang w:val="pt-BR"/>
        </w:rPr>
        <w:t xml:space="preserve">856, DE </w:t>
      </w:r>
      <w:r w:rsidR="009325E1">
        <w:rPr>
          <w:b/>
          <w:sz w:val="24"/>
          <w:szCs w:val="24"/>
          <w:shd w:val="clear" w:color="auto" w:fill="FFFFFF"/>
          <w:lang w:val="pt-BR"/>
        </w:rPr>
        <w:t>7 DE NOVEMBRO DE 2017</w:t>
      </w:r>
    </w:p>
    <w:p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(Publicada no DOU nº </w:t>
      </w:r>
      <w:r w:rsidR="009325E1">
        <w:rPr>
          <w:b/>
          <w:color w:val="0000FF"/>
          <w:sz w:val="24"/>
          <w:szCs w:val="24"/>
          <w:shd w:val="clear" w:color="auto" w:fill="FFFFFF"/>
          <w:lang w:val="pt-BR"/>
        </w:rPr>
        <w:t>215, de 9 de novembro</w:t>
      </w:r>
      <w:r w:rsidR="00AB7A3F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 </w:t>
      </w: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>de 2017)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O Diretor-Presidente da Agência Nacional de Vigilância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Sanitária, no uso de suas atribuições, e tendo em vista o disposto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no art. 54, III, § 3º, aliado ao art. 52, II do Regimento Interno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aprovado nos termos do Anexo I da Resolução da Diretoria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Colegiada - RDC n° 61, de 3 de fevereiro de 2016, resolve: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Art. 1º Instituir 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,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definir suas atribuições, competências e sua composição, que passa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a ser regida nos termos desta Portaria.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Art. 2º 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 xml:space="preserve"> tem como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atribuição assessorar tecnicamente a Gerência-Geral de Monitoramento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 Produtos Sujeitos à Vigilância Sanitária, da Anvisa, no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âmbito da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Art. 3º Compete à Câmara Técnica, quando solicitada: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I - </w:t>
      </w:r>
      <w:proofErr w:type="gramStart"/>
      <w:r w:rsidRPr="009325E1">
        <w:rPr>
          <w:bCs/>
          <w:sz w:val="24"/>
          <w:szCs w:val="24"/>
          <w:lang w:val="pt-BR"/>
        </w:rPr>
        <w:t>contribuir</w:t>
      </w:r>
      <w:proofErr w:type="gramEnd"/>
      <w:r w:rsidRPr="009325E1">
        <w:rPr>
          <w:bCs/>
          <w:sz w:val="24"/>
          <w:szCs w:val="24"/>
          <w:lang w:val="pt-BR"/>
        </w:rPr>
        <w:t xml:space="preserve"> em caráter consultivo para a implementação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das ações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II - </w:t>
      </w:r>
      <w:proofErr w:type="gramStart"/>
      <w:r w:rsidRPr="009325E1">
        <w:rPr>
          <w:bCs/>
          <w:sz w:val="24"/>
          <w:szCs w:val="24"/>
          <w:lang w:val="pt-BR"/>
        </w:rPr>
        <w:t>participar</w:t>
      </w:r>
      <w:proofErr w:type="gramEnd"/>
      <w:r w:rsidRPr="009325E1">
        <w:rPr>
          <w:bCs/>
          <w:sz w:val="24"/>
          <w:szCs w:val="24"/>
          <w:lang w:val="pt-BR"/>
        </w:rPr>
        <w:t xml:space="preserve"> da regulamentação, do monitoramento e da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avaliação das ações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III - participar da investigação de eventos adversos relacionados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aos medicamentos;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IV - </w:t>
      </w:r>
      <w:proofErr w:type="gramStart"/>
      <w:r w:rsidRPr="009325E1">
        <w:rPr>
          <w:bCs/>
          <w:sz w:val="24"/>
          <w:szCs w:val="24"/>
          <w:lang w:val="pt-BR"/>
        </w:rPr>
        <w:t>produzir</w:t>
      </w:r>
      <w:proofErr w:type="gramEnd"/>
      <w:r w:rsidRPr="009325E1">
        <w:rPr>
          <w:bCs/>
          <w:sz w:val="24"/>
          <w:szCs w:val="24"/>
          <w:lang w:val="pt-BR"/>
        </w:rPr>
        <w:t xml:space="preserve"> análises e relatórios para subsidiar a tomada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 decisão da Gerência-Geral de Monitoramento de Produtos Sujeitos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à Vigilância Sanitária;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V - </w:t>
      </w:r>
      <w:proofErr w:type="gramStart"/>
      <w:r w:rsidRPr="009325E1">
        <w:rPr>
          <w:bCs/>
          <w:sz w:val="24"/>
          <w:szCs w:val="24"/>
          <w:lang w:val="pt-BR"/>
        </w:rPr>
        <w:t>dar</w:t>
      </w:r>
      <w:proofErr w:type="gramEnd"/>
      <w:r w:rsidRPr="009325E1">
        <w:rPr>
          <w:bCs/>
          <w:sz w:val="24"/>
          <w:szCs w:val="24"/>
          <w:lang w:val="pt-BR"/>
        </w:rPr>
        <w:t xml:space="preserve"> suporte técnico à Gerência-Geral de Monitoramento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 Produtos Sujeitos à Vigilância Sanitária na proposição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 ações que visem aumentar a segurança dos medicamentos;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VI - </w:t>
      </w:r>
      <w:proofErr w:type="gramStart"/>
      <w:r w:rsidRPr="009325E1">
        <w:rPr>
          <w:bCs/>
          <w:sz w:val="24"/>
          <w:szCs w:val="24"/>
          <w:lang w:val="pt-BR"/>
        </w:rPr>
        <w:t>participar</w:t>
      </w:r>
      <w:proofErr w:type="gramEnd"/>
      <w:r w:rsidRPr="009325E1">
        <w:rPr>
          <w:bCs/>
          <w:sz w:val="24"/>
          <w:szCs w:val="24"/>
          <w:lang w:val="pt-BR"/>
        </w:rPr>
        <w:t xml:space="preserve"> da formação e atualização de recursos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humanos em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VII - auxiliar a Gerência-Geral de Monitoramento de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Produtos Sujeitos à Vigilância Sanitária na comunicação de informações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técnicas sobre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VIII - participar do processo de integração dos diferentes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atores envolvidos no processo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 xml:space="preserve"> e do intercâmbio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com instituições nacionais e internacionais para a vigilância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dos medicamentos;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IX - </w:t>
      </w:r>
      <w:proofErr w:type="gramStart"/>
      <w:r w:rsidRPr="009325E1">
        <w:rPr>
          <w:bCs/>
          <w:sz w:val="24"/>
          <w:szCs w:val="24"/>
          <w:lang w:val="pt-BR"/>
        </w:rPr>
        <w:t>participar</w:t>
      </w:r>
      <w:proofErr w:type="gramEnd"/>
      <w:r w:rsidRPr="009325E1">
        <w:rPr>
          <w:bCs/>
          <w:sz w:val="24"/>
          <w:szCs w:val="24"/>
          <w:lang w:val="pt-BR"/>
        </w:rPr>
        <w:t xml:space="preserve"> da elaboração de material técnico-científico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para a notificação, o monitoramento e a investigação de eventos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adversos relacionados aos medicamentos;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X - participar da elaboração e padronização de indicadores,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 estudos e pesquisas de interesse do Sistema Único de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Saúde, no âmbito da </w:t>
      </w:r>
      <w:proofErr w:type="spellStart"/>
      <w:proofErr w:type="gram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 xml:space="preserve"> ;</w:t>
      </w:r>
      <w:proofErr w:type="gramEnd"/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lastRenderedPageBreak/>
        <w:t>XI - participar da seleção e incorporação de métodos e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abordagens para o desenvolvimento das atividades; e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XII - subsidiar a Gerência-Geral de Monitoramento de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Produtos Sujeitos à Vigilância Sanitária em outras ações que se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fizerem necessárias e pertinentes ao tema da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Art. 4º 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 xml:space="preserve"> passa a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ser composta pelos seguintes representantes: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I - </w:t>
      </w:r>
      <w:proofErr w:type="gramStart"/>
      <w:r w:rsidRPr="009325E1">
        <w:rPr>
          <w:bCs/>
          <w:sz w:val="24"/>
          <w:szCs w:val="24"/>
          <w:lang w:val="pt-BR"/>
        </w:rPr>
        <w:t>dois representantes</w:t>
      </w:r>
      <w:proofErr w:type="gramEnd"/>
      <w:r w:rsidRPr="009325E1">
        <w:rPr>
          <w:bCs/>
          <w:sz w:val="24"/>
          <w:szCs w:val="24"/>
          <w:lang w:val="pt-BR"/>
        </w:rPr>
        <w:t xml:space="preserve"> da Gerência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II - </w:t>
      </w:r>
      <w:proofErr w:type="gramStart"/>
      <w:r w:rsidRPr="009325E1">
        <w:rPr>
          <w:bCs/>
          <w:sz w:val="24"/>
          <w:szCs w:val="24"/>
          <w:lang w:val="pt-BR"/>
        </w:rPr>
        <w:t>um</w:t>
      </w:r>
      <w:proofErr w:type="gramEnd"/>
      <w:r w:rsidRPr="009325E1">
        <w:rPr>
          <w:bCs/>
          <w:sz w:val="24"/>
          <w:szCs w:val="24"/>
          <w:lang w:val="pt-BR"/>
        </w:rPr>
        <w:t xml:space="preserve"> representante da Gerência-Geral de Monitoramento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 Produtos sujeitos à Vigilância Sanitária;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III - 7 (sete) membros externos ao quadro da Anvisa.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§ 1º Os membros da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serão nomeados pelo Diretor-Presidente da Anvisa em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portaria específica.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§ 2º 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 xml:space="preserve"> contará com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um Coordenador- Geral e um Coordenador-Geral Substituto, integrantes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da Gerência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§ 3º Sempre que necessário, 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poderá convidar técnicos do âmbito público ou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privado, do setor regulado ou da sociedade civil com o objetivo de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contribuir para o aprimoramento dos trabalhos realizados.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Art. 5° Os membros da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>,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assim como seus cônjuges, parentes colaterais, ascendentes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ou descendentes de primeiro grau, não poderão ter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conflito de interesses que afetem sua parcialidade na análise do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objeto em questão.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§ 1° A designação do membro da Câmara Técnica de</w:t>
      </w:r>
      <w:r>
        <w:rPr>
          <w:bCs/>
          <w:sz w:val="24"/>
          <w:szCs w:val="24"/>
          <w:lang w:val="pt-BR"/>
        </w:rPr>
        <w:t xml:space="preserve">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 xml:space="preserve"> deve ser precedida, sem prejuízo de outras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formalidades, do preenchimento do Termo de Cadastro e do Termo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 Compromisso, além do Termo de Confidencialidade de Informação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e Possíveis Conflitos de Interesse.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§ 2° O membro da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é responsável por esclarecer situação que sugira conflito de interesse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decorrente de relação pessoal, ou de seus cônjuges, companheiros,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ou parentes em linha reta, colateral ou por afinidade,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até o terceiro grau, com serviços e centros que pesquisem e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desenvolvam terapias celulares.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Art. 6° As atribuições do Coordenador-Geral e do Coordenador-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Geral Substituto incluirão, entre outras, as seguintes: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I - </w:t>
      </w:r>
      <w:proofErr w:type="gramStart"/>
      <w:r w:rsidRPr="009325E1">
        <w:rPr>
          <w:bCs/>
          <w:sz w:val="24"/>
          <w:szCs w:val="24"/>
          <w:lang w:val="pt-BR"/>
        </w:rPr>
        <w:t>coordenar</w:t>
      </w:r>
      <w:proofErr w:type="gramEnd"/>
      <w:r w:rsidRPr="009325E1">
        <w:rPr>
          <w:bCs/>
          <w:sz w:val="24"/>
          <w:szCs w:val="24"/>
          <w:lang w:val="pt-BR"/>
        </w:rPr>
        <w:t xml:space="preserve"> as discussões;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II - </w:t>
      </w:r>
      <w:proofErr w:type="gramStart"/>
      <w:r w:rsidRPr="009325E1">
        <w:rPr>
          <w:bCs/>
          <w:sz w:val="24"/>
          <w:szCs w:val="24"/>
          <w:lang w:val="pt-BR"/>
        </w:rPr>
        <w:t>produzir e expedir</w:t>
      </w:r>
      <w:proofErr w:type="gramEnd"/>
      <w:r w:rsidRPr="009325E1">
        <w:rPr>
          <w:bCs/>
          <w:sz w:val="24"/>
          <w:szCs w:val="24"/>
          <w:lang w:val="pt-BR"/>
        </w:rPr>
        <w:t xml:space="preserve"> documentos;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lastRenderedPageBreak/>
        <w:t>III - distribuir tarefas;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IV - </w:t>
      </w:r>
      <w:proofErr w:type="gramStart"/>
      <w:r w:rsidRPr="009325E1">
        <w:rPr>
          <w:bCs/>
          <w:sz w:val="24"/>
          <w:szCs w:val="24"/>
          <w:lang w:val="pt-BR"/>
        </w:rPr>
        <w:t>conduzir</w:t>
      </w:r>
      <w:proofErr w:type="gramEnd"/>
      <w:r w:rsidRPr="009325E1">
        <w:rPr>
          <w:bCs/>
          <w:sz w:val="24"/>
          <w:szCs w:val="24"/>
          <w:lang w:val="pt-BR"/>
        </w:rPr>
        <w:t xml:space="preserve"> os trabalhos; e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V - </w:t>
      </w:r>
      <w:proofErr w:type="gramStart"/>
      <w:r w:rsidRPr="009325E1">
        <w:rPr>
          <w:bCs/>
          <w:sz w:val="24"/>
          <w:szCs w:val="24"/>
          <w:lang w:val="pt-BR"/>
        </w:rPr>
        <w:t>coordenar</w:t>
      </w:r>
      <w:proofErr w:type="gramEnd"/>
      <w:r w:rsidRPr="009325E1">
        <w:rPr>
          <w:bCs/>
          <w:sz w:val="24"/>
          <w:szCs w:val="24"/>
          <w:lang w:val="pt-BR"/>
        </w:rPr>
        <w:t xml:space="preserve"> o apoio administrativo.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Art. 7º 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 xml:space="preserve"> </w:t>
      </w:r>
      <w:proofErr w:type="spellStart"/>
      <w:r w:rsidRPr="009325E1">
        <w:rPr>
          <w:bCs/>
          <w:sz w:val="24"/>
          <w:szCs w:val="24"/>
          <w:lang w:val="pt-BR"/>
        </w:rPr>
        <w:t>reunir-seá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 xml:space="preserve">mediante convocação do seu </w:t>
      </w:r>
      <w:proofErr w:type="spellStart"/>
      <w:r w:rsidRPr="009325E1">
        <w:rPr>
          <w:bCs/>
          <w:sz w:val="24"/>
          <w:szCs w:val="24"/>
          <w:lang w:val="pt-BR"/>
        </w:rPr>
        <w:t>Coodenador</w:t>
      </w:r>
      <w:proofErr w:type="spellEnd"/>
      <w:r w:rsidRPr="009325E1">
        <w:rPr>
          <w:bCs/>
          <w:sz w:val="24"/>
          <w:szCs w:val="24"/>
          <w:lang w:val="pt-BR"/>
        </w:rPr>
        <w:t xml:space="preserve"> ou mediante proposta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de cinquenta por cento mais um dos seus membros.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Art. 8º As reuniões deverão contar com um </w:t>
      </w:r>
      <w:proofErr w:type="spellStart"/>
      <w:r w:rsidRPr="009325E1">
        <w:rPr>
          <w:bCs/>
          <w:sz w:val="24"/>
          <w:szCs w:val="24"/>
          <w:lang w:val="pt-BR"/>
        </w:rPr>
        <w:t>quorum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mínimo de quatro membros.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Art. 9º As reuniões serão conduzidas pelo Coordenador-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Geral e, na falta deste, pelo Coordenador-Geral Substituto.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 xml:space="preserve">Art. 10 Os membros da Câmara Técnica de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terão mandatos com duração de 3 (três) anos e poderão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ser reconduzidos por mais 3 (três) anos.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Art. 11 As funções dos membros da Câmara Técnica de</w:t>
      </w:r>
      <w:r>
        <w:rPr>
          <w:bCs/>
          <w:sz w:val="24"/>
          <w:szCs w:val="24"/>
          <w:lang w:val="pt-BR"/>
        </w:rPr>
        <w:t xml:space="preserve"> </w:t>
      </w:r>
      <w:proofErr w:type="spellStart"/>
      <w:r w:rsidRPr="009325E1">
        <w:rPr>
          <w:bCs/>
          <w:sz w:val="24"/>
          <w:szCs w:val="24"/>
          <w:lang w:val="pt-BR"/>
        </w:rPr>
        <w:t>Farmacovigilância</w:t>
      </w:r>
      <w:proofErr w:type="spellEnd"/>
      <w:r w:rsidRPr="009325E1">
        <w:rPr>
          <w:bCs/>
          <w:sz w:val="24"/>
          <w:szCs w:val="24"/>
          <w:lang w:val="pt-BR"/>
        </w:rPr>
        <w:t xml:space="preserve"> não serão remuneradas e seu exercício será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considerado ação de relevância para o Serviço Público.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9325E1">
        <w:rPr>
          <w:bCs/>
          <w:sz w:val="24"/>
          <w:szCs w:val="24"/>
          <w:lang w:val="pt-BR"/>
        </w:rPr>
        <w:t>Art. 12 Esta Portaria entra em vigor na data da sua</w:t>
      </w:r>
      <w:r>
        <w:rPr>
          <w:bCs/>
          <w:sz w:val="24"/>
          <w:szCs w:val="24"/>
          <w:lang w:val="pt-BR"/>
        </w:rPr>
        <w:t xml:space="preserve"> </w:t>
      </w:r>
      <w:r w:rsidRPr="009325E1">
        <w:rPr>
          <w:bCs/>
          <w:sz w:val="24"/>
          <w:szCs w:val="24"/>
          <w:lang w:val="pt-BR"/>
        </w:rPr>
        <w:t>publicação.</w:t>
      </w:r>
      <w:r>
        <w:rPr>
          <w:bCs/>
          <w:sz w:val="24"/>
          <w:szCs w:val="24"/>
          <w:lang w:val="pt-BR"/>
        </w:rPr>
        <w:t xml:space="preserve"> </w:t>
      </w:r>
    </w:p>
    <w:p w:rsidR="009325E1" w:rsidRDefault="009325E1" w:rsidP="009325E1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</w:p>
    <w:p w:rsidR="00993C9B" w:rsidRPr="00AB7A3F" w:rsidRDefault="009325E1" w:rsidP="009325E1">
      <w:pPr>
        <w:spacing w:after="200"/>
        <w:jc w:val="center"/>
        <w:rPr>
          <w:bCs/>
          <w:sz w:val="24"/>
          <w:szCs w:val="24"/>
          <w:lang w:val="pt-BR"/>
        </w:rPr>
      </w:pPr>
      <w:bookmarkStart w:id="0" w:name="_GoBack"/>
      <w:bookmarkEnd w:id="0"/>
      <w:r w:rsidRPr="009325E1">
        <w:rPr>
          <w:bCs/>
          <w:sz w:val="24"/>
          <w:szCs w:val="24"/>
          <w:lang w:val="pt-BR"/>
        </w:rPr>
        <w:t>JARBAS BARBOSA DA SILVA JR.</w:t>
      </w:r>
    </w:p>
    <w:sectPr w:rsidR="00993C9B" w:rsidRPr="00AB7A3F" w:rsidSect="00842919">
      <w:headerReference w:type="default" r:id="rId9"/>
      <w:footerReference w:type="default" r:id="rId10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0D5" w:rsidRDefault="00F850D5" w:rsidP="002D157E">
      <w:r>
        <w:separator/>
      </w:r>
    </w:p>
  </w:endnote>
  <w:endnote w:type="continuationSeparator" w:id="0">
    <w:p w:rsidR="00F850D5" w:rsidRDefault="00F850D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 xml:space="preserve">Este texto não substitui </w:t>
    </w:r>
    <w:proofErr w:type="gramStart"/>
    <w:r w:rsidRPr="00842919">
      <w:rPr>
        <w:rFonts w:ascii="Calibri" w:hAnsi="Calibri"/>
        <w:color w:val="943634"/>
        <w:lang w:val="pt-BR"/>
      </w:rPr>
      <w:t>o(</w:t>
    </w:r>
    <w:proofErr w:type="gramEnd"/>
    <w:r w:rsidRPr="00842919">
      <w:rPr>
        <w:rFonts w:ascii="Calibri" w:hAnsi="Calibri"/>
        <w:color w:val="943634"/>
        <w:lang w:val="pt-BR"/>
      </w:rPr>
      <w:t>s) publicado(s) em Diário Oficial da União.</w:t>
    </w:r>
  </w:p>
  <w:p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0D5" w:rsidRDefault="00F850D5" w:rsidP="002D157E">
      <w:r>
        <w:separator/>
      </w:r>
    </w:p>
  </w:footnote>
  <w:footnote w:type="continuationSeparator" w:id="0">
    <w:p w:rsidR="00F850D5" w:rsidRDefault="00F850D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9" w:rsidRPr="00B517AC" w:rsidRDefault="00F850D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F850D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0843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77343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5604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325E1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93C9B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B7A3F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2852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840E0"/>
    <w:rsid w:val="00D93192"/>
    <w:rsid w:val="00DA2ED8"/>
    <w:rsid w:val="00DA3D1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B63A2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23C89"/>
  <w14:defaultImageDpi w14:val="0"/>
  <w15:docId w15:val="{AF73D841-39FF-457C-A6EC-B6F0588B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66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4DF924-DA9B-4FAE-A8B0-68C19BF549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A6FF62-BBC7-4144-84A8-F515DC1FDF0C}"/>
</file>

<file path=customXml/itemProps4.xml><?xml version="1.0" encoding="utf-8"?>
<ds:datastoreItem xmlns:ds="http://schemas.openxmlformats.org/officeDocument/2006/customXml" ds:itemID="{95D3A651-6CCD-4AED-B7B7-06E14FB07F5F}"/>
</file>

<file path=customXml/itemProps5.xml><?xml version="1.0" encoding="utf-8"?>
<ds:datastoreItem xmlns:ds="http://schemas.openxmlformats.org/officeDocument/2006/customXml" ds:itemID="{9B0EE922-B190-4F1D-9ACC-163D082490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822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Raianne Liberal Coutinho</cp:lastModifiedBy>
  <cp:revision>2</cp:revision>
  <cp:lastPrinted>2017-08-10T18:14:00Z</cp:lastPrinted>
  <dcterms:created xsi:type="dcterms:W3CDTF">2017-11-09T17:57:00Z</dcterms:created>
  <dcterms:modified xsi:type="dcterms:W3CDTF">2017-11-09T17:57:00Z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2015-07-08T03:00:00Z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2015-07-08T03:00:00Z</vt:filetime>
  </property>
  <property fmtid="{D5CDD505-2E9C-101B-9397-08002B2CF9AE}" pid="5" name="_DocHome">
    <vt:i4>-1965687585</vt:i4>
  </property>
  <property fmtid="{D5CDD505-2E9C-101B-9397-08002B2CF9AE}" pid="6" name="ContentTypeId">
    <vt:lpwstr>0x0101003EA23B54B4C11D478B02E3F24C9EDF15</vt:lpwstr>
  </property>
</Properties>
</file>