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959" w:rsidRDefault="00212959" w:rsidP="006A0D0C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1F2FDF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PORTARIA Nº 185, DE 08 DE MARÇO DE 1999 (*)</w:t>
      </w:r>
    </w:p>
    <w:p w:rsidR="004E372E" w:rsidRPr="001F2FDF" w:rsidRDefault="004E372E" w:rsidP="006A0D0C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:rsidR="00212959" w:rsidRDefault="004E372E" w:rsidP="006A0D0C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</w:rPr>
        <w:t>Publicada em DOU nº 45</w:t>
      </w:r>
      <w:r w:rsidR="00515E6D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</w:rPr>
        <w:t>-E</w:t>
      </w:r>
      <w:r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</w:rPr>
        <w:t>, de 09 de março de 1999)</w:t>
      </w:r>
    </w:p>
    <w:p w:rsidR="004E372E" w:rsidRDefault="004E372E" w:rsidP="006A0D0C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</w:rPr>
      </w:pPr>
    </w:p>
    <w:p w:rsidR="004E372E" w:rsidRDefault="004E372E" w:rsidP="006A0D0C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</w:rPr>
        <w:t>(Republicada em DOU nº 49</w:t>
      </w:r>
      <w:r w:rsidR="00BD0834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</w:rPr>
        <w:t>-E</w:t>
      </w:r>
      <w:r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</w:rPr>
        <w:t>, de 15 de março de 1999)</w:t>
      </w:r>
    </w:p>
    <w:p w:rsidR="004E372E" w:rsidRDefault="004E372E" w:rsidP="006A0D0C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</w:rPr>
      </w:pPr>
    </w:p>
    <w:p w:rsidR="004E372E" w:rsidRDefault="003164FF" w:rsidP="006A0D0C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</w:rPr>
        <w:t>(</w:t>
      </w:r>
      <w:r w:rsidR="004E372E" w:rsidRPr="00CD2B12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</w:rPr>
        <w:t>Revogada pela Resolução – RDC nº 10, de 21 de março de 2011)</w:t>
      </w:r>
    </w:p>
    <w:p w:rsidR="003C47E0" w:rsidRPr="004E372E" w:rsidRDefault="003C47E0" w:rsidP="006A0D0C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</w:rPr>
      </w:pP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O Secretário Substituto de Vigilância Sanitária do Ministério da Saúde, no uso de suas atribuições, e considerando: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que</w:t>
      </w:r>
      <w:proofErr w:type="gramEnd"/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somente podem produzir, importar, fracionar, embalar, reembalar, armazenar ou distribuir produtos farmacêuticos, as empresas com autorização do Ministério da Saúde específica para cada uma destas atividades;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a</w:t>
      </w:r>
      <w:proofErr w:type="gramEnd"/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necessidade de regulamentar a concessão de autorização de funcionamento de empresas importadoras de produtos farmacêuticos, resolve: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Art. 1º A importação de produtos farmacêuticos sujeitos ao Regime de Vigilância Sanitária somente poderá ser efetuada por empresa legalmente autorizada como importadora pela Secretaria de Vigilância Sanitária/ Ministério da Saúde.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Parágrafo único. A empresa legalmente autorizada para desenvolver exclusivamente atividade de importação somente pode importar produtos acabados e em sua embalagem original.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Art. 2º A empresa importadora é responsável pela qualidade, eficácia e segurança dos produtos que importar.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§ 1º Todos os produtos importados devem ser submetidos a ensaios completos de controle de qualidade, lote a lote, através de laboratório próprio da importadora ou da contratação de serviços de terceiros.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§ 2º Em caso de contratação de serviços de terceiros, o laboratório contratado deve possuir licença de funcionamento atualizada, expedida pela autoridade sanitária competente e prova de capacitação para os testes a serem realizados.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§ 3º O contrato de terceirização deve conter, podendo ser como anexo, discriminação dos produtos e respectivos testes a serem realizados.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§ 4º A terceirização permitida neste Regulamento terá um caráter de concessão temporária, devendo ser aprovada somente para um período não superior a 03 (três) anos, improrrogáveis, findo os quais a empresa deverá comprovar a existência de laboratório próprio de controle de qualidade.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Art. 3º A relação de documentos necessários à formação de processos para Autorização de Funcionamento de Empresa com atividade de importação de produtos farmacêuticos, é a seguinte: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I - petição preenchida, em duas vias, com a solicitação de Autorização de Funcionamento aprovada pela Instrução Normativa SVS/MS 1/94;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 xml:space="preserve">II - comprovante de pagamento de preço público (DARF. Código 6.470), em duas </w:t>
      </w:r>
      <w:proofErr w:type="gramStart"/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vias(</w:t>
      </w:r>
      <w:proofErr w:type="gramEnd"/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original e cópia), devidamente autenticadas ou carimbadas;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III - contrato Social ou documento comprobatório de constituição legal da empresa, registrado em órgão próprio;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IV - cópia da inscrição no Cadastro Geral de Pessoa Jurídica do Ministério da Fazenda;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 xml:space="preserve">V - relação </w:t>
      </w:r>
      <w:proofErr w:type="spellStart"/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suscinta</w:t>
      </w:r>
      <w:proofErr w:type="spellEnd"/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das atividades da empresa, com classe terapêutica e formas dos produtos com os quais irá trabalhar;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VI - declaração contendo nome do Responsável Técnico, número do registro no Conselho Regional de Farmácia e o seu caráter vinculante com a empresa;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VII - prova de existência de laboratório, em conformidade com as Boas Práticas de Fabricação e Controle, no que couber, para executar o controle de qualidade dos produtos acabados a serem importados, ou cópia do contrato de realização deste controle por meio de terceiros, com especificações das análises a serem realizadas;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VIII - prova da existência de depósito, em conformidade com as Boas Práticas de Fabricação e Controle, no que couber, e Boas Práticas de Armazenagem;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IX - cópia do contrato que comprove caráter vinculante da importadora com empresa produtora, titular de registro do produto no seu país de origem.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§ 1º A documentação deve ser assinada pelo Representante Legal da empresa, devendo a parte técnica ser firmada, conjuntamente, pelo Responsável Técnico, com reconhecimento da firma de ambos.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§ 2º No caso de autorização de funcionamento para empresas "Representantes MERCOSUL", serão observados os requisitos previstos em legislação específica, em consonância com as Resoluções MERCOSUL.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 xml:space="preserve">Art. 4º O Regulamento quanto </w:t>
      </w:r>
      <w:proofErr w:type="gramStart"/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a</w:t>
      </w:r>
      <w:proofErr w:type="gramEnd"/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documentação e procedimentos exigidos para registro de produtos importados, será publicado em Portaria específica.</w:t>
      </w:r>
    </w:p>
    <w:p w:rsidR="00212959" w:rsidRPr="004E372E" w:rsidRDefault="00212959" w:rsidP="004E372E">
      <w:pPr>
        <w:spacing w:before="171" w:after="171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E372E">
        <w:rPr>
          <w:rFonts w:ascii="Times New Roman" w:eastAsia="Times New Roman" w:hAnsi="Times New Roman" w:cs="Times New Roman"/>
          <w:strike/>
          <w:sz w:val="24"/>
          <w:szCs w:val="24"/>
        </w:rPr>
        <w:t>Art. 5° Esta Portaria entra em vigor na data de sua publicação, revogando-se as disposições em contrário da Portaria SVS/MS Nº 14/96 e as Portarias 664/98 e 1053/98.</w:t>
      </w:r>
    </w:p>
    <w:p w:rsidR="006A0D0C" w:rsidRPr="001F2FDF" w:rsidRDefault="006A0D0C" w:rsidP="006A0D0C">
      <w:pPr>
        <w:spacing w:before="171" w:after="17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2959" w:rsidRDefault="00212959" w:rsidP="004E372E">
      <w:pPr>
        <w:spacing w:before="171" w:after="17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2FDF">
        <w:rPr>
          <w:rFonts w:ascii="Times New Roman" w:eastAsia="Times New Roman" w:hAnsi="Times New Roman" w:cs="Times New Roman"/>
          <w:sz w:val="24"/>
          <w:szCs w:val="24"/>
        </w:rPr>
        <w:t>LUIS CARLOS WANDERLEY LIMA</w:t>
      </w:r>
    </w:p>
    <w:p w:rsidR="003C47E0" w:rsidRPr="001F2FDF" w:rsidRDefault="003C47E0" w:rsidP="004E372E">
      <w:pPr>
        <w:spacing w:before="171" w:after="17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2959" w:rsidRPr="00F20E06" w:rsidRDefault="00212959" w:rsidP="006A0D0C">
      <w:pPr>
        <w:spacing w:before="171" w:after="17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F20E06">
        <w:rPr>
          <w:rFonts w:ascii="Times New Roman" w:eastAsia="Times New Roman" w:hAnsi="Times New Roman" w:cs="Times New Roman"/>
          <w:strike/>
          <w:sz w:val="24"/>
          <w:szCs w:val="24"/>
        </w:rPr>
        <w:t>(*) Republicada por ter saído com inco</w:t>
      </w:r>
      <w:r w:rsidR="003C47E0" w:rsidRPr="00F20E06">
        <w:rPr>
          <w:rFonts w:ascii="Times New Roman" w:eastAsia="Times New Roman" w:hAnsi="Times New Roman" w:cs="Times New Roman"/>
          <w:strike/>
          <w:sz w:val="24"/>
          <w:szCs w:val="24"/>
        </w:rPr>
        <w:t xml:space="preserve">rreção, do original, no D.O. nº </w:t>
      </w:r>
      <w:r w:rsidRPr="00F20E06">
        <w:rPr>
          <w:rFonts w:ascii="Times New Roman" w:eastAsia="Times New Roman" w:hAnsi="Times New Roman" w:cs="Times New Roman"/>
          <w:strike/>
          <w:sz w:val="24"/>
          <w:szCs w:val="24"/>
        </w:rPr>
        <w:t>45-E, de 9-3-99, Seção 1</w:t>
      </w:r>
      <w:r w:rsidR="003C47E0" w:rsidRPr="00F20E06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F20E0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pág</w:t>
      </w:r>
      <w:r w:rsidR="003C47E0" w:rsidRPr="00F20E06">
        <w:rPr>
          <w:rFonts w:ascii="Times New Roman" w:eastAsia="Times New Roman" w:hAnsi="Times New Roman" w:cs="Times New Roman"/>
          <w:strike/>
          <w:sz w:val="24"/>
          <w:szCs w:val="24"/>
        </w:rPr>
        <w:t>s</w:t>
      </w:r>
      <w:r w:rsidRPr="00F20E06">
        <w:rPr>
          <w:rFonts w:ascii="Times New Roman" w:eastAsia="Times New Roman" w:hAnsi="Times New Roman" w:cs="Times New Roman"/>
          <w:strike/>
          <w:sz w:val="24"/>
          <w:szCs w:val="24"/>
        </w:rPr>
        <w:t>. 8 e 9.</w:t>
      </w:r>
    </w:p>
    <w:p w:rsidR="003C47E0" w:rsidRPr="00F97E0D" w:rsidRDefault="003C47E0" w:rsidP="003C47E0">
      <w:pPr>
        <w:spacing w:before="171" w:after="17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F97E0D">
        <w:rPr>
          <w:rFonts w:ascii="Times New Roman" w:eastAsia="Times New Roman" w:hAnsi="Times New Roman" w:cs="Times New Roman"/>
          <w:strike/>
          <w:sz w:val="24"/>
          <w:szCs w:val="24"/>
        </w:rPr>
        <w:t>(Of. El. nº 88/99)</w:t>
      </w:r>
    </w:p>
    <w:p w:rsidR="006B784D" w:rsidRPr="003C47E0" w:rsidRDefault="006B784D" w:rsidP="003C47E0">
      <w:pPr>
        <w:spacing w:before="171" w:after="17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B784D" w:rsidRPr="003C47E0" w:rsidSect="006B78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485" w:rsidRDefault="00144485" w:rsidP="00144485">
      <w:pPr>
        <w:spacing w:after="0" w:line="240" w:lineRule="auto"/>
      </w:pPr>
      <w:r>
        <w:separator/>
      </w:r>
    </w:p>
  </w:endnote>
  <w:endnote w:type="continuationSeparator" w:id="0">
    <w:p w:rsidR="00144485" w:rsidRDefault="00144485" w:rsidP="00144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485" w:rsidRDefault="0014448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485" w:rsidRPr="00144485" w:rsidRDefault="00144485" w:rsidP="0014448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lang w:eastAsia="en-US"/>
      </w:rPr>
    </w:pPr>
    <w:r w:rsidRPr="00144485">
      <w:rPr>
        <w:rFonts w:ascii="Calibri" w:eastAsia="Times New Roman" w:hAnsi="Calibri" w:cs="Times New Roman"/>
        <w:color w:val="943634"/>
        <w:lang w:eastAsia="en-US"/>
      </w:rPr>
      <w:t>Este texto não substitui o(s) publicado(s) em Diário Oficial da União.</w:t>
    </w:r>
  </w:p>
  <w:p w:rsidR="00144485" w:rsidRDefault="0014448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485" w:rsidRDefault="001444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485" w:rsidRDefault="00144485" w:rsidP="00144485">
      <w:pPr>
        <w:spacing w:after="0" w:line="240" w:lineRule="auto"/>
      </w:pPr>
      <w:r>
        <w:separator/>
      </w:r>
    </w:p>
  </w:footnote>
  <w:footnote w:type="continuationSeparator" w:id="0">
    <w:p w:rsidR="00144485" w:rsidRDefault="00144485" w:rsidP="00144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485" w:rsidRDefault="0014448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485" w:rsidRPr="00144485" w:rsidRDefault="00144485" w:rsidP="0014448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lang w:eastAsia="en-US"/>
      </w:rPr>
    </w:pPr>
    <w:r w:rsidRPr="00144485">
      <w:rPr>
        <w:rFonts w:ascii="Calibri" w:eastAsia="Times New Roman" w:hAnsi="Calibri" w:cs="Times New Roman"/>
        <w:noProof/>
      </w:rPr>
      <w:drawing>
        <wp:inline distT="0" distB="0" distL="0" distR="0" wp14:anchorId="0A516EF1" wp14:editId="7119D35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  <w:p w:rsidR="00144485" w:rsidRPr="00144485" w:rsidRDefault="00144485" w:rsidP="0014448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  <w:lang w:eastAsia="en-US"/>
      </w:rPr>
    </w:pPr>
    <w:r w:rsidRPr="00144485">
      <w:rPr>
        <w:rFonts w:ascii="Calibri" w:eastAsia="Times New Roman" w:hAnsi="Calibri" w:cs="Times New Roman"/>
        <w:b/>
        <w:sz w:val="24"/>
        <w:lang w:eastAsia="en-US"/>
      </w:rPr>
      <w:t>Ministério da Saúde - MS</w:t>
    </w:r>
  </w:p>
  <w:p w:rsidR="00144485" w:rsidRPr="00144485" w:rsidRDefault="00144485" w:rsidP="0014448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  <w:lang w:eastAsia="en-US"/>
      </w:rPr>
    </w:pPr>
    <w:r w:rsidRPr="00144485">
      <w:rPr>
        <w:rFonts w:ascii="Calibri" w:eastAsia="Times New Roman" w:hAnsi="Calibri" w:cs="Times New Roman"/>
        <w:b/>
        <w:sz w:val="24"/>
        <w:lang w:eastAsia="en-US"/>
      </w:rPr>
      <w:t>Agência Nacional de Vigilância Sanitária - ANVISA</w:t>
    </w:r>
  </w:p>
  <w:p w:rsidR="00144485" w:rsidRDefault="0014448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485" w:rsidRDefault="0014448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2959"/>
    <w:rsid w:val="00144485"/>
    <w:rsid w:val="001F2FDF"/>
    <w:rsid w:val="00212959"/>
    <w:rsid w:val="002522AE"/>
    <w:rsid w:val="003164FF"/>
    <w:rsid w:val="003C47E0"/>
    <w:rsid w:val="0043238D"/>
    <w:rsid w:val="004E372E"/>
    <w:rsid w:val="00515E6D"/>
    <w:rsid w:val="006A0D0C"/>
    <w:rsid w:val="006B784D"/>
    <w:rsid w:val="00713197"/>
    <w:rsid w:val="00794F1B"/>
    <w:rsid w:val="00BD0834"/>
    <w:rsid w:val="00CD2B12"/>
    <w:rsid w:val="00F20E06"/>
    <w:rsid w:val="00F9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4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4485"/>
  </w:style>
  <w:style w:type="paragraph" w:styleId="Rodap">
    <w:name w:val="footer"/>
    <w:basedOn w:val="Normal"/>
    <w:link w:val="RodapChar"/>
    <w:uiPriority w:val="99"/>
    <w:unhideWhenUsed/>
    <w:rsid w:val="00144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4485"/>
  </w:style>
  <w:style w:type="paragraph" w:styleId="Textodebalo">
    <w:name w:val="Balloon Text"/>
    <w:basedOn w:val="Normal"/>
    <w:link w:val="TextodebaloChar"/>
    <w:uiPriority w:val="99"/>
    <w:semiHidden/>
    <w:unhideWhenUsed/>
    <w:rsid w:val="00144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4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5362">
                      <w:marLeft w:val="343"/>
                      <w:marRight w:val="34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794815-E9F2-4F64-8286-6290F5794B54}"/>
</file>

<file path=customXml/itemProps2.xml><?xml version="1.0" encoding="utf-8"?>
<ds:datastoreItem xmlns:ds="http://schemas.openxmlformats.org/officeDocument/2006/customXml" ds:itemID="{55E32877-C473-48AC-A423-4635C78BBE34}"/>
</file>

<file path=customXml/itemProps3.xml><?xml version="1.0" encoding="utf-8"?>
<ds:datastoreItem xmlns:ds="http://schemas.openxmlformats.org/officeDocument/2006/customXml" ds:itemID="{4D57315A-A8EC-43A8-98EC-18CC205C66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696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THAIS.PEREIRA</dc:creator>
  <cp:lastModifiedBy>THAIS.PEREIRA</cp:lastModifiedBy>
  <cp:revision>12</cp:revision>
  <dcterms:created xsi:type="dcterms:W3CDTF">2015-09-22T18:59:00Z</dcterms:created>
  <dcterms:modified xsi:type="dcterms:W3CDTF">2016-08-03T12:18:00Z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